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28"/>
        </w:rPr>
        <w:t>Supporting Information</w:t>
      </w:r>
    </w:p>
    <w:p>
      <w:p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b/>
          <w:bCs/>
          <w:color w:val="auto"/>
          <w:sz w:val="28"/>
        </w:rPr>
      </w:pPr>
      <w:r>
        <w:rPr>
          <w:rFonts w:ascii="Times New Roman" w:hAnsi="Times New Roman" w:cs="Times New Roman"/>
          <w:b/>
          <w:bCs/>
          <w:color w:val="auto"/>
          <w:sz w:val="28"/>
        </w:rPr>
        <w:t>Synergistic adsorption and electrocatalytic effect of Mott-Schottky heterostructures</w:t>
      </w:r>
      <w:r>
        <w:rPr>
          <w:rFonts w:ascii="Times New Roman" w:hAnsi="Times New Roman" w:cs="Times New Roman"/>
          <w:b/>
          <w:color w:val="auto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</w:rPr>
        <w:t>functionalized separators for lithium-sulfur batteries</w:t>
      </w:r>
    </w:p>
    <w:p>
      <w:pPr>
        <w:spacing w:line="360" w:lineRule="auto"/>
        <w:rPr>
          <w:rFonts w:ascii="Times New Roman" w:hAnsi="Times New Roman" w:cs="Times New Roman"/>
          <w:i/>
          <w:iCs/>
          <w:color w:val="auto"/>
          <w:sz w:val="22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iCs/>
          <w:color w:val="auto"/>
          <w:sz w:val="22"/>
          <w:szCs w:val="28"/>
          <w:vertAlign w:val="superscript"/>
        </w:rPr>
      </w:pPr>
      <w:r>
        <w:rPr>
          <w:rFonts w:ascii="Times New Roman" w:hAnsi="Times New Roman" w:cs="Times New Roman"/>
          <w:iCs/>
          <w:color w:val="auto"/>
          <w:sz w:val="22"/>
          <w:szCs w:val="28"/>
        </w:rPr>
        <w:t>Jiapei Gu</w:t>
      </w:r>
      <w:r>
        <w:rPr>
          <w:rFonts w:hint="eastAsia" w:ascii="Times New Roman" w:hAnsi="Times New Roman" w:cs="Times New Roman"/>
          <w:iCs/>
          <w:color w:val="auto"/>
          <w:sz w:val="22"/>
          <w:szCs w:val="28"/>
          <w:vertAlign w:val="superscript"/>
        </w:rPr>
        <w:t>1</w:t>
      </w:r>
      <w:r>
        <w:rPr>
          <w:rFonts w:ascii="Times New Roman" w:hAnsi="Times New Roman" w:cs="Times New Roman"/>
          <w:iCs/>
          <w:color w:val="auto"/>
          <w:sz w:val="22"/>
          <w:szCs w:val="28"/>
        </w:rPr>
        <w:t>, Chenxu Dong</w:t>
      </w:r>
      <w:r>
        <w:rPr>
          <w:rFonts w:hint="eastAsia" w:ascii="Times New Roman" w:hAnsi="Times New Roman" w:cs="Times New Roman"/>
          <w:iCs/>
          <w:color w:val="auto"/>
          <w:sz w:val="22"/>
          <w:szCs w:val="28"/>
          <w:vertAlign w:val="superscript"/>
        </w:rPr>
        <w:t>1</w:t>
      </w:r>
      <w:r>
        <w:rPr>
          <w:rFonts w:ascii="Times New Roman" w:hAnsi="Times New Roman" w:cs="Times New Roman"/>
          <w:iCs/>
          <w:color w:val="auto"/>
          <w:sz w:val="22"/>
          <w:szCs w:val="28"/>
        </w:rPr>
        <w:t>, Cheng Zhou</w:t>
      </w:r>
      <w:r>
        <w:rPr>
          <w:rFonts w:hint="eastAsia" w:ascii="Times New Roman" w:hAnsi="Times New Roman" w:cs="Times New Roman"/>
          <w:iCs/>
          <w:color w:val="auto"/>
          <w:sz w:val="22"/>
          <w:szCs w:val="28"/>
          <w:vertAlign w:val="superscript"/>
        </w:rPr>
        <w:t>1</w:t>
      </w:r>
      <w:r>
        <w:rPr>
          <w:rFonts w:ascii="Times New Roman" w:hAnsi="Times New Roman" w:cs="Times New Roman"/>
          <w:iCs/>
          <w:color w:val="auto"/>
          <w:sz w:val="22"/>
          <w:szCs w:val="28"/>
        </w:rPr>
        <w:t>, Chunli Shen</w:t>
      </w:r>
      <w:r>
        <w:rPr>
          <w:rFonts w:hint="eastAsia" w:ascii="Times New Roman" w:hAnsi="Times New Roman" w:cs="Times New Roman"/>
          <w:iCs/>
          <w:color w:val="auto"/>
          <w:sz w:val="22"/>
          <w:szCs w:val="28"/>
          <w:vertAlign w:val="superscript"/>
        </w:rPr>
        <w:t>1</w:t>
      </w:r>
      <w:r>
        <w:rPr>
          <w:rFonts w:ascii="Times New Roman" w:hAnsi="Times New Roman" w:cs="Times New Roman"/>
          <w:iCs/>
          <w:color w:val="auto"/>
          <w:sz w:val="22"/>
          <w:szCs w:val="28"/>
        </w:rPr>
        <w:t>, Yuqiang Pi</w:t>
      </w:r>
      <w:r>
        <w:rPr>
          <w:rFonts w:hint="eastAsia" w:ascii="Times New Roman" w:hAnsi="Times New Roman" w:cs="Times New Roman"/>
          <w:iCs/>
          <w:color w:val="auto"/>
          <w:sz w:val="22"/>
          <w:szCs w:val="28"/>
          <w:vertAlign w:val="superscript"/>
        </w:rPr>
        <w:t>2</w:t>
      </w:r>
      <w:r>
        <w:rPr>
          <w:rFonts w:ascii="Times New Roman" w:hAnsi="Times New Roman" w:cs="Times New Roman"/>
          <w:iCs/>
          <w:color w:val="auto"/>
          <w:sz w:val="22"/>
          <w:szCs w:val="28"/>
          <w:vertAlign w:val="superscript"/>
        </w:rPr>
        <w:t>*</w:t>
      </w:r>
      <w:r>
        <w:rPr>
          <w:rFonts w:ascii="Times New Roman" w:hAnsi="Times New Roman" w:cs="Times New Roman"/>
          <w:iCs/>
          <w:color w:val="auto"/>
          <w:sz w:val="22"/>
          <w:szCs w:val="28"/>
        </w:rPr>
        <w:t>, Xu Xu</w:t>
      </w:r>
      <w:r>
        <w:rPr>
          <w:rFonts w:hint="eastAsia" w:ascii="Times New Roman" w:hAnsi="Times New Roman" w:cs="Times New Roman"/>
          <w:iCs/>
          <w:color w:val="auto"/>
          <w:sz w:val="22"/>
          <w:szCs w:val="28"/>
          <w:vertAlign w:val="superscript"/>
        </w:rPr>
        <w:t>1</w:t>
      </w:r>
      <w:r>
        <w:rPr>
          <w:rFonts w:ascii="Times New Roman" w:hAnsi="Times New Roman" w:cs="Times New Roman"/>
          <w:iCs/>
          <w:color w:val="auto"/>
          <w:sz w:val="22"/>
          <w:szCs w:val="28"/>
          <w:vertAlign w:val="superscript"/>
        </w:rPr>
        <w:t>*</w:t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color w:val="auto"/>
          <w:sz w:val="22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color w:val="auto"/>
          <w:sz w:val="22"/>
          <w:szCs w:val="28"/>
        </w:rPr>
      </w:pPr>
      <w:r>
        <w:rPr>
          <w:rFonts w:hint="eastAsia" w:ascii="Times New Roman" w:hAnsi="Times New Roman" w:cs="Times New Roman"/>
          <w:color w:val="auto"/>
          <w:sz w:val="22"/>
          <w:szCs w:val="28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2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2"/>
        </w:rPr>
        <w:t>State Key Laboratory of Advanced Technology for Materials Synthesis and Processing, International School of Materials Science and Engineering, Wuhan University of Technology, Wuhan 430070, P. R. China</w:t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  <w:szCs w:val="28"/>
        </w:rPr>
      </w:pPr>
      <w:r>
        <w:rPr>
          <w:rFonts w:hint="eastAsia" w:ascii="Times New Roman" w:hAnsi="Times New Roman" w:cs="Times New Roman"/>
          <w:color w:val="auto"/>
          <w:sz w:val="22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2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2"/>
        </w:rPr>
        <w:t>School of Chemistry and Materials Science, Hubei Engineering University, Xiaogan 432000, P. R. China</w:t>
      </w:r>
    </w:p>
    <w:p>
      <w:pPr>
        <w:spacing w:line="360" w:lineRule="auto"/>
        <w:rPr>
          <w:rFonts w:ascii="Times New Roman" w:hAnsi="Times New Roman" w:cs="Times New Roman"/>
          <w:b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  <w:r>
        <w:rPr>
          <w:rFonts w:ascii="Times New Roman" w:hAnsi="Times New Roman" w:cs="Times New Roman"/>
          <w:iCs/>
          <w:color w:val="auto"/>
          <w:sz w:val="22"/>
          <w:szCs w:val="28"/>
          <w:vertAlign w:val="superscript"/>
        </w:rPr>
        <w:t>*</w:t>
      </w:r>
      <w:r>
        <w:rPr>
          <w:rFonts w:ascii="Times New Roman" w:hAnsi="Times New Roman" w:cs="Times New Roman"/>
          <w:bCs/>
          <w:color w:val="auto"/>
          <w:sz w:val="22"/>
        </w:rPr>
        <w:t xml:space="preserve">E-mail addresses: </w:t>
      </w:r>
      <w:r>
        <w:rPr>
          <w:rFonts w:ascii="Times New Roman" w:hAnsi="Times New Roman" w:cs="Times New Roman"/>
          <w:color w:val="auto"/>
          <w:sz w:val="22"/>
        </w:rPr>
        <w:t xml:space="preserve">xq0502@163.com (Dr. Y. Pi), </w:t>
      </w:r>
      <w:r>
        <w:rPr>
          <w:rFonts w:ascii="Times New Roman" w:hAnsi="Times New Roman" w:cs="Times New Roman"/>
          <w:bCs/>
          <w:color w:val="auto"/>
          <w:sz w:val="22"/>
        </w:rPr>
        <w:t xml:space="preserve">xuxu@whut.edu.cn </w:t>
      </w:r>
      <w:r>
        <w:rPr>
          <w:rFonts w:ascii="Times New Roman" w:hAnsi="Times New Roman" w:cs="Times New Roman"/>
          <w:color w:val="auto"/>
          <w:sz w:val="22"/>
        </w:rPr>
        <w:t>(Dr. X. Xu)</w:t>
      </w:r>
      <w:r>
        <w:rPr>
          <w:rFonts w:ascii="Times New Roman" w:hAnsi="Times New Roman" w:cs="Times New Roman"/>
          <w:bCs/>
          <w:color w:val="auto"/>
          <w:sz w:val="22"/>
        </w:rPr>
        <w:t xml:space="preserve">.   </w:t>
      </w: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bCs/>
          <w:color w:val="auto"/>
          <w:sz w:val="22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114300" distR="114300">
            <wp:extent cx="2743200" cy="224853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bCs/>
          <w:color w:val="auto"/>
          <w:sz w:val="22"/>
        </w:rPr>
        <w:t>Figure S1</w:t>
      </w:r>
      <w:r>
        <w:rPr>
          <w:rFonts w:ascii="Times New Roman" w:hAnsi="Times New Roman" w:cs="Times New Roman"/>
          <w:color w:val="auto"/>
          <w:sz w:val="22"/>
        </w:rPr>
        <w:t xml:space="preserve"> TGA curve</w:t>
      </w:r>
      <w:r>
        <w:rPr>
          <w:rFonts w:hint="eastAsia" w:ascii="Times New Roman" w:hAnsi="Times New Roman" w:cs="Times New Roman"/>
          <w:color w:val="auto"/>
          <w:sz w:val="22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auto"/>
          <w:sz w:val="22"/>
        </w:rPr>
        <w:t>f</w:t>
      </w:r>
      <w:r>
        <w:rPr>
          <w:rFonts w:hint="eastAsia" w:ascii="Times New Roman" w:hAnsi="Times New Roman" w:cs="Times New Roman"/>
          <w:color w:val="auto"/>
          <w:sz w:val="22"/>
          <w:lang w:val="en-US" w:eastAsia="zh-CN"/>
        </w:rPr>
        <w:t>or</w:t>
      </w:r>
      <w:r>
        <w:rPr>
          <w:rFonts w:ascii="Times New Roman" w:hAnsi="Times New Roman" w:cs="Times New Roman"/>
          <w:color w:val="auto"/>
          <w:sz w:val="22"/>
        </w:rPr>
        <w:t xml:space="preserve"> sulfur cathode.</w:t>
      </w: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717415" cy="2626360"/>
            <wp:effectExtent l="0" t="0" r="698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/>
                    <a:stretch>
                      <a:fillRect/>
                    </a:stretch>
                  </pic:blipFill>
                  <pic:spPr>
                    <a:xfrm>
                      <a:off x="0" y="0"/>
                      <a:ext cx="4716015" cy="2626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2</w:t>
      </w:r>
      <w:r>
        <w:rPr>
          <w:rFonts w:ascii="Times New Roman" w:hAnsi="Times New Roman" w:cs="Times New Roman"/>
          <w:color w:val="auto"/>
          <w:sz w:val="22"/>
        </w:rPr>
        <w:t xml:space="preserve">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a) SEM image,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b) TEM image,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>c-e) TEM elemental mapping images of Bi, Mo and O of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nanosheets.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>f) HRTEM image.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2743200" cy="22764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08" cy="227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  <w:sz w:val="22"/>
        </w:rPr>
        <w:t>Figure S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3</w:t>
      </w:r>
      <w:r>
        <w:rPr>
          <w:rFonts w:ascii="Times New Roman" w:hAnsi="Times New Roman" w:cs="Times New Roman"/>
          <w:color w:val="auto"/>
          <w:sz w:val="22"/>
        </w:rPr>
        <w:t xml:space="preserve"> TGA curves for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-PPy. </w:t>
      </w:r>
      <w:r>
        <w:rPr>
          <w:rFonts w:ascii="Times New Roman" w:hAnsi="Times New Roman" w:cs="Times New Roman"/>
          <w:color w:val="auto"/>
        </w:rPr>
        <w:t xml:space="preserve"> 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758690" cy="274955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/>
                    <a:stretch>
                      <a:fillRect/>
                    </a:stretch>
                  </pic:blipFill>
                  <pic:spPr>
                    <a:xfrm>
                      <a:off x="0" y="0"/>
                      <a:ext cx="4756117" cy="27481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4</w:t>
      </w:r>
      <w:r>
        <w:rPr>
          <w:rFonts w:ascii="Times New Roman" w:hAnsi="Times New Roman" w:cs="Times New Roman"/>
          <w:color w:val="auto"/>
          <w:sz w:val="22"/>
        </w:rPr>
        <w:t xml:space="preserve">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a) Full XPS profiles, and XPS spectra of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b) Bi 4f,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c) Mo 3d,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d) O 1s and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>e) N 1s of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-PPy.</w:t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2372360" cy="196469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326" cy="19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5</w:t>
      </w:r>
      <w:r>
        <w:rPr>
          <w:rFonts w:ascii="Times New Roman" w:hAnsi="Times New Roman" w:cs="Times New Roman"/>
          <w:color w:val="auto"/>
          <w:sz w:val="22"/>
        </w:rPr>
        <w:t xml:space="preserve"> N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 xml:space="preserve"> adsorption-desorption isotherm for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-PPy.  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5003800" cy="123571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/>
                    <a:stretch>
                      <a:fillRect/>
                    </a:stretch>
                  </pic:blipFill>
                  <pic:spPr>
                    <a:xfrm>
                      <a:off x="0" y="0"/>
                      <a:ext cx="5031961" cy="12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a) SEM image of PP separator.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b) SEM image of the surface and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>c) the cross-sectional SEM image of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@PP separator. 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jc w:val="center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0" distR="0">
            <wp:extent cx="4386580" cy="2193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</w:t>
      </w:r>
      <w:r>
        <w:rPr>
          <w:rFonts w:ascii="Times New Roman" w:hAnsi="Times New Roman" w:cs="Times New Roman"/>
          <w:b/>
          <w:color w:val="auto"/>
        </w:rPr>
        <w:t xml:space="preserve"> S</w:t>
      </w:r>
      <w:r>
        <w:rPr>
          <w:rFonts w:hint="eastAsia" w:ascii="Times New Roman" w:hAnsi="Times New Roman" w:cs="Times New Roman"/>
          <w:b/>
          <w:color w:val="auto"/>
          <w:lang w:val="en-US" w:eastAsia="zh-CN"/>
        </w:rPr>
        <w:t>7</w:t>
      </w:r>
      <w:r>
        <w:rPr>
          <w:rFonts w:ascii="Times New Roman" w:hAnsi="Times New Roman" w:cs="Times New Roman"/>
          <w:color w:val="auto"/>
          <w:sz w:val="22"/>
        </w:rPr>
        <w:t xml:space="preserve"> Digital photographs of the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-PPy@PP separator before and after repeated folding</w:t>
      </w:r>
      <w:r>
        <w:rPr>
          <w:rFonts w:hint="eastAsia" w:ascii="Times New Roman" w:hAnsi="Times New Roman" w:cs="Times New Roman"/>
          <w:color w:val="auto"/>
          <w:sz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</w:rPr>
        <w:t>(a-d) or curving</w:t>
      </w:r>
      <w:r>
        <w:rPr>
          <w:rFonts w:hint="eastAsia" w:ascii="Times New Roman" w:hAnsi="Times New Roman" w:cs="Times New Roman"/>
          <w:color w:val="auto"/>
          <w:sz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</w:rPr>
        <w:t>(e-h).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889500" cy="2807335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799" cy="280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8</w:t>
      </w:r>
      <w:r>
        <w:rPr>
          <w:rFonts w:ascii="Times New Roman" w:hAnsi="Times New Roman" w:cs="Times New Roman"/>
          <w:color w:val="auto"/>
          <w:sz w:val="22"/>
        </w:rPr>
        <w:t xml:space="preserve"> Permeation experiments with a double-L device for PP,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@PP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-PPy@PP separators. 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0" distR="0">
            <wp:extent cx="5179060" cy="22085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287" cy="221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9</w:t>
      </w:r>
      <w:r>
        <w:rPr>
          <w:rFonts w:ascii="Times New Roman" w:hAnsi="Times New Roman" w:cs="Times New Roman"/>
          <w:color w:val="auto"/>
          <w:sz w:val="22"/>
        </w:rPr>
        <w:t xml:space="preserve">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a) The Impedance plots and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b) the lithium-ion conductivity of the Li-S cell with </w:t>
      </w:r>
      <w:bookmarkStart w:id="0" w:name="OLE_LINK25"/>
      <w:r>
        <w:rPr>
          <w:rFonts w:ascii="Times New Roman" w:hAnsi="Times New Roman" w:cs="Times New Roman"/>
          <w:color w:val="auto"/>
          <w:sz w:val="22"/>
        </w:rPr>
        <w:t>pristine PP,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@PP,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-PPy@PP separators.</w:t>
      </w:r>
      <w:bookmarkEnd w:id="0"/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953000" cy="2126615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106" cy="212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10</w:t>
      </w:r>
      <w:r>
        <w:rPr>
          <w:rFonts w:ascii="Times New Roman" w:hAnsi="Times New Roman" w:cs="Times New Roman"/>
          <w:color w:val="auto"/>
          <w:sz w:val="22"/>
        </w:rPr>
        <w:t xml:space="preserve"> UPS spectra of a)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and b) </w:t>
      </w:r>
      <w:bookmarkStart w:id="1" w:name="OLE_LINK56"/>
      <w:bookmarkStart w:id="2" w:name="OLE_LINK55"/>
      <w:r>
        <w:rPr>
          <w:rFonts w:ascii="Times New Roman" w:hAnsi="Times New Roman" w:cs="Times New Roman"/>
          <w:color w:val="auto"/>
          <w:sz w:val="22"/>
        </w:rPr>
        <w:t>PPy</w:t>
      </w:r>
      <w:bookmarkEnd w:id="1"/>
      <w:bookmarkEnd w:id="2"/>
      <w:r>
        <w:rPr>
          <w:rFonts w:ascii="Times New Roman" w:hAnsi="Times New Roman" w:cs="Times New Roman"/>
          <w:color w:val="auto"/>
          <w:sz w:val="22"/>
        </w:rPr>
        <w:t>. The work function (Φ) of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and PPy samples were determined by the equation of Φ = 21.22 eV - (E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cutoff</w:t>
      </w:r>
      <w:r>
        <w:rPr>
          <w:rFonts w:ascii="Times New Roman" w:hAnsi="Times New Roman" w:cs="Times New Roman"/>
          <w:color w:val="auto"/>
          <w:sz w:val="22"/>
        </w:rPr>
        <w:t xml:space="preserve"> - E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F</w:t>
      </w:r>
      <w:r>
        <w:rPr>
          <w:rFonts w:ascii="Times New Roman" w:hAnsi="Times New Roman" w:cs="Times New Roman"/>
          <w:color w:val="auto"/>
          <w:sz w:val="22"/>
        </w:rPr>
        <w:t>) as 3.93 and 4.36eV, respectively.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5271770" cy="3049905"/>
            <wp:effectExtent l="0" t="0" r="508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375" cy="305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  <w:szCs w:val="21"/>
        </w:rPr>
      </w:pPr>
      <w:r>
        <w:rPr>
          <w:rFonts w:ascii="Times New Roman" w:hAnsi="Times New Roman" w:cs="Times New Roman"/>
          <w:b/>
          <w:color w:val="auto"/>
          <w:sz w:val="22"/>
          <w:szCs w:val="21"/>
        </w:rPr>
        <w:t>Figure S1</w:t>
      </w:r>
      <w:r>
        <w:rPr>
          <w:rFonts w:hint="eastAsia" w:ascii="Times New Roman" w:hAnsi="Times New Roman" w:cs="Times New Roman"/>
          <w:b/>
          <w:color w:val="auto"/>
          <w:sz w:val="22"/>
          <w:szCs w:val="21"/>
          <w:lang w:val="en-US" w:eastAsia="zh-CN"/>
        </w:rPr>
        <w:t>1</w:t>
      </w:r>
      <w:r>
        <w:rPr>
          <w:rFonts w:ascii="Times New Roman" w:hAnsi="Times New Roman" w:cs="Times New Roman"/>
          <w:color w:val="auto"/>
          <w:sz w:val="22"/>
          <w:szCs w:val="21"/>
        </w:rPr>
        <w:t xml:space="preserve"> The CV curves of the Li-S cell with different separators at 0.1-0.4 mV/s scan rate and the corresponding linear relation of peak current (I</w:t>
      </w:r>
      <w:r>
        <w:rPr>
          <w:rFonts w:ascii="Times New Roman" w:hAnsi="Times New Roman" w:cs="Times New Roman"/>
          <w:color w:val="auto"/>
          <w:sz w:val="22"/>
          <w:szCs w:val="21"/>
          <w:vertAlign w:val="subscript"/>
        </w:rPr>
        <w:t>p</w:t>
      </w:r>
      <w:r>
        <w:rPr>
          <w:rFonts w:ascii="Times New Roman" w:hAnsi="Times New Roman" w:cs="Times New Roman"/>
          <w:color w:val="auto"/>
          <w:sz w:val="22"/>
          <w:szCs w:val="21"/>
        </w:rPr>
        <w:t xml:space="preserve">) versus the square root of scan rate: </w:t>
      </w:r>
      <w:r>
        <w:rPr>
          <w:rFonts w:hint="eastAsia" w:ascii="Times New Roman" w:hAnsi="Times New Roman" w:cs="Times New Roman"/>
          <w:color w:val="auto"/>
          <w:sz w:val="22"/>
          <w:szCs w:val="21"/>
        </w:rPr>
        <w:t>(</w:t>
      </w:r>
      <w:r>
        <w:rPr>
          <w:rFonts w:ascii="Times New Roman" w:hAnsi="Times New Roman" w:cs="Times New Roman"/>
          <w:color w:val="auto"/>
          <w:sz w:val="22"/>
          <w:szCs w:val="21"/>
        </w:rPr>
        <w:t>a, d) Bi</w:t>
      </w:r>
      <w:r>
        <w:rPr>
          <w:rFonts w:ascii="Times New Roman" w:hAnsi="Times New Roman" w:cs="Times New Roman"/>
          <w:color w:val="auto"/>
          <w:sz w:val="22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  <w:szCs w:val="21"/>
        </w:rPr>
        <w:t>MoO</w:t>
      </w:r>
      <w:r>
        <w:rPr>
          <w:rFonts w:ascii="Times New Roman" w:hAnsi="Times New Roman" w:cs="Times New Roman"/>
          <w:color w:val="auto"/>
          <w:sz w:val="22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  <w:szCs w:val="21"/>
        </w:rPr>
        <w:t xml:space="preserve">-PPy@PP; </w:t>
      </w:r>
      <w:r>
        <w:rPr>
          <w:rFonts w:hint="eastAsia" w:ascii="Times New Roman" w:hAnsi="Times New Roman" w:cs="Times New Roman"/>
          <w:color w:val="auto"/>
          <w:sz w:val="22"/>
          <w:szCs w:val="21"/>
        </w:rPr>
        <w:t>(</w:t>
      </w:r>
      <w:r>
        <w:rPr>
          <w:rFonts w:ascii="Times New Roman" w:hAnsi="Times New Roman" w:cs="Times New Roman"/>
          <w:color w:val="auto"/>
          <w:sz w:val="22"/>
          <w:szCs w:val="21"/>
        </w:rPr>
        <w:t>b, e) Bi</w:t>
      </w:r>
      <w:r>
        <w:rPr>
          <w:rFonts w:ascii="Times New Roman" w:hAnsi="Times New Roman" w:cs="Times New Roman"/>
          <w:color w:val="auto"/>
          <w:sz w:val="22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  <w:szCs w:val="21"/>
        </w:rPr>
        <w:t>MoO</w:t>
      </w:r>
      <w:r>
        <w:rPr>
          <w:rFonts w:ascii="Times New Roman" w:hAnsi="Times New Roman" w:cs="Times New Roman"/>
          <w:color w:val="auto"/>
          <w:sz w:val="22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  <w:szCs w:val="21"/>
        </w:rPr>
        <w:t xml:space="preserve">@PP; </w:t>
      </w:r>
      <w:r>
        <w:rPr>
          <w:rFonts w:hint="eastAsia" w:ascii="Times New Roman" w:hAnsi="Times New Roman" w:cs="Times New Roman"/>
          <w:color w:val="auto"/>
          <w:sz w:val="22"/>
          <w:szCs w:val="21"/>
        </w:rPr>
        <w:t>(</w:t>
      </w:r>
      <w:r>
        <w:rPr>
          <w:rFonts w:ascii="Times New Roman" w:hAnsi="Times New Roman" w:cs="Times New Roman"/>
          <w:color w:val="auto"/>
          <w:sz w:val="22"/>
          <w:szCs w:val="21"/>
        </w:rPr>
        <w:t>c, f) PP.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2473960" cy="201485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9048" cy="201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S1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2</w:t>
      </w:r>
      <w:r>
        <w:rPr>
          <w:rFonts w:ascii="Times New Roman" w:hAnsi="Times New Roman" w:cs="Times New Roman"/>
          <w:color w:val="auto"/>
          <w:sz w:val="22"/>
        </w:rPr>
        <w:t xml:space="preserve"> CV curves of symmetric cells at 50 mV s</w:t>
      </w:r>
      <w:r>
        <w:rPr>
          <w:rFonts w:ascii="Times New Roman" w:hAnsi="Times New Roman" w:cs="Times New Roman"/>
          <w:color w:val="auto"/>
          <w:sz w:val="22"/>
          <w:vertAlign w:val="superscript"/>
        </w:rPr>
        <w:t>-1</w:t>
      </w:r>
      <w:r>
        <w:rPr>
          <w:rFonts w:ascii="Times New Roman" w:hAnsi="Times New Roman" w:cs="Times New Roman"/>
          <w:color w:val="auto"/>
          <w:sz w:val="22"/>
        </w:rPr>
        <w:t>.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jc w:val="center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0" distR="0">
            <wp:extent cx="5235575" cy="2299970"/>
            <wp:effectExtent l="0" t="0" r="317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463" cy="230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S1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3</w:t>
      </w:r>
      <w:r>
        <w:rPr>
          <w:rFonts w:ascii="Times New Roman" w:hAnsi="Times New Roman" w:cs="Times New Roman"/>
          <w:color w:val="auto"/>
          <w:sz w:val="22"/>
        </w:rPr>
        <w:t xml:space="preserve">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a) The EIS spectrum and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>b) LSV curves of polysulfide (Li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S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) symmetric batteries.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0" distR="0">
            <wp:extent cx="4083685" cy="2734945"/>
            <wp:effectExtent l="0" t="0" r="571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bCs/>
          <w:color w:val="auto"/>
          <w:sz w:val="22"/>
        </w:rPr>
        <w:t>Figure S1</w:t>
      </w:r>
      <w:r>
        <w:rPr>
          <w:rFonts w:hint="eastAsia" w:ascii="Times New Roman" w:hAnsi="Times New Roman" w:cs="Times New Roman"/>
          <w:b/>
          <w:bCs/>
          <w:color w:val="auto"/>
          <w:sz w:val="22"/>
          <w:lang w:val="en-US" w:eastAsia="zh-CN"/>
        </w:rPr>
        <w:t>4</w:t>
      </w:r>
      <w:r>
        <w:rPr>
          <w:rFonts w:ascii="Times New Roman" w:hAnsi="Times New Roman" w:cs="Times New Roman"/>
          <w:color w:val="auto"/>
          <w:sz w:val="22"/>
        </w:rPr>
        <w:t xml:space="preserve"> Top view of the optimized configurations for the binding of long-chain Li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S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n</w:t>
      </w:r>
      <w:r>
        <w:rPr>
          <w:rFonts w:ascii="Times New Roman" w:hAnsi="Times New Roman" w:cs="Times New Roman"/>
          <w:color w:val="auto"/>
          <w:sz w:val="22"/>
        </w:rPr>
        <w:t xml:space="preserve"> to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-PPy.</w:t>
      </w:r>
    </w:p>
    <w:p>
      <w:pPr>
        <w:spacing w:line="360" w:lineRule="auto"/>
        <w:jc w:val="center"/>
        <w:rPr>
          <w:rFonts w:ascii="Times New Roman" w:hAnsi="Times New Roman" w:cs="Times New Roman"/>
          <w:color w:val="auto"/>
          <w:sz w:val="22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2597785" cy="20624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227" cy="20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bookmarkStart w:id="3" w:name="OLE_LINK51"/>
      <w:bookmarkStart w:id="4" w:name="OLE_LINK50"/>
      <w:r>
        <w:rPr>
          <w:rFonts w:ascii="Times New Roman" w:hAnsi="Times New Roman" w:cs="Times New Roman"/>
          <w:b/>
          <w:color w:val="auto"/>
          <w:sz w:val="22"/>
        </w:rPr>
        <w:t>Figure S1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5</w:t>
      </w:r>
      <w:r>
        <w:rPr>
          <w:rFonts w:ascii="Times New Roman" w:hAnsi="Times New Roman" w:cs="Times New Roman"/>
          <w:color w:val="auto"/>
          <w:sz w:val="22"/>
        </w:rPr>
        <w:t xml:space="preserve"> The binding energy of LiPSs to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-PPy. </w:t>
      </w:r>
    </w:p>
    <w:bookmarkEnd w:id="3"/>
    <w:bookmarkEnd w:id="4"/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jc w:val="center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0" distR="0">
            <wp:extent cx="3157855" cy="280733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S1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XPS spectra of a) Bi 4f, b) Mo 3d, c) S 2p and d) Li 1s of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-PPy before and after Li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S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 adsorption.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938395" cy="20478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7680" cy="2055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S1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7</w:t>
      </w:r>
      <w:r>
        <w:rPr>
          <w:rFonts w:ascii="Times New Roman" w:hAnsi="Times New Roman" w:cs="Times New Roman"/>
          <w:color w:val="auto"/>
          <w:sz w:val="22"/>
        </w:rPr>
        <w:t xml:space="preserve"> The constant current charge/discharge voltage curves of different rate for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 xml:space="preserve">a) PP separator and </w:t>
      </w:r>
      <w:r>
        <w:rPr>
          <w:rFonts w:hint="eastAsia" w:ascii="Times New Roman" w:hAnsi="Times New Roman" w:cs="Times New Roman"/>
          <w:color w:val="auto"/>
          <w:sz w:val="22"/>
        </w:rPr>
        <w:t>(</w:t>
      </w:r>
      <w:r>
        <w:rPr>
          <w:rFonts w:ascii="Times New Roman" w:hAnsi="Times New Roman" w:cs="Times New Roman"/>
          <w:color w:val="auto"/>
          <w:sz w:val="22"/>
        </w:rPr>
        <w:t>b)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@PP separator.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jc w:val="center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0" distR="0">
            <wp:extent cx="4358005" cy="232918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S1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8</w:t>
      </w:r>
      <w:r>
        <w:rPr>
          <w:rFonts w:ascii="Times New Roman" w:hAnsi="Times New Roman" w:cs="Times New Roman"/>
          <w:color w:val="auto"/>
          <w:sz w:val="22"/>
        </w:rPr>
        <w:t xml:space="preserve"> SEM images of the Li anodes (top) and the separators (bottom) for Li-S batteries after cycling at 2 C with the (a, d) PP, (b, e)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@PP and (c, f)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>-PPy@PP separators.</w:t>
      </w:r>
    </w:p>
    <w:p>
      <w:pPr>
        <w:rPr>
          <w:rFonts w:ascii="Times New Roman" w:hAnsi="Times New Roman" w:cs="Times New Roman"/>
          <w:color w:val="auto"/>
          <w:sz w:val="22"/>
        </w:rPr>
      </w:pPr>
    </w:p>
    <w:p>
      <w:pPr>
        <w:rPr>
          <w:rFonts w:ascii="Times New Roman" w:hAnsi="Times New Roman" w:cs="Times New Roman"/>
          <w:color w:val="auto"/>
          <w:sz w:val="22"/>
        </w:rPr>
      </w:pPr>
    </w:p>
    <w:p>
      <w:pPr>
        <w:jc w:val="center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0" distR="0">
            <wp:extent cx="2178685" cy="203581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Figure S1</w:t>
      </w:r>
      <w:r>
        <w:rPr>
          <w:rFonts w:hint="eastAsia" w:ascii="Times New Roman" w:hAnsi="Times New Roman" w:cs="Times New Roman"/>
          <w:b/>
          <w:color w:val="auto"/>
          <w:sz w:val="22"/>
          <w:lang w:val="en-US" w:eastAsia="zh-CN"/>
        </w:rPr>
        <w:t>9</w:t>
      </w:r>
      <w:r>
        <w:rPr>
          <w:rFonts w:ascii="Times New Roman" w:hAnsi="Times New Roman" w:cs="Times New Roman"/>
          <w:color w:val="auto"/>
          <w:sz w:val="22"/>
        </w:rPr>
        <w:t xml:space="preserve"> Full XPS profiles of Li anodes for Li-S batteries with PP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-PPy@PP separator after cycling at 2 C. </w:t>
      </w: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</w:rPr>
        <w:t>Table S1</w:t>
      </w:r>
      <w:r>
        <w:rPr>
          <w:rFonts w:ascii="Times New Roman" w:hAnsi="Times New Roman" w:cs="Times New Roman"/>
          <w:color w:val="auto"/>
        </w:rPr>
        <w:t xml:space="preserve"> BET surface area and pore volume of the resulting samples.</w:t>
      </w: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inline distT="0" distB="0" distL="0" distR="0">
            <wp:extent cx="4229100" cy="11918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9492" cy="119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>
      <w:pPr>
        <w:rPr>
          <w:rStyle w:val="13"/>
          <w:rFonts w:ascii="Times New Roman" w:hAnsi="Times New Roman" w:eastAsia="宋体" w:cs="Times New Roman"/>
          <w:color w:val="auto"/>
          <w:sz w:val="22"/>
        </w:rPr>
      </w:pPr>
      <w:bookmarkStart w:id="5" w:name="OLE_LINK5"/>
      <w:r>
        <w:rPr>
          <w:rStyle w:val="13"/>
          <w:rFonts w:ascii="Times New Roman" w:hAnsi="Times New Roman" w:eastAsia="宋体" w:cs="Times New Roman"/>
          <w:b/>
          <w:color w:val="auto"/>
          <w:sz w:val="22"/>
        </w:rPr>
        <w:t>Table S2</w:t>
      </w:r>
      <w:r>
        <w:rPr>
          <w:rStyle w:val="13"/>
          <w:rFonts w:ascii="Times New Roman" w:hAnsi="Times New Roman" w:eastAsia="宋体" w:cs="Times New Roman"/>
          <w:color w:val="auto"/>
          <w:sz w:val="22"/>
        </w:rPr>
        <w:t xml:space="preserve"> Electrochemical performances of this work compared with previous works involving different separators in recently reported literature.</w:t>
      </w:r>
    </w:p>
    <w:bookmarkEnd w:id="5"/>
    <w:p>
      <w:pPr>
        <w:widowControl/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  <w:sz w:val="22"/>
        </w:rPr>
        <w:drawing>
          <wp:inline distT="0" distB="0" distL="0" distR="0">
            <wp:extent cx="5186680" cy="42151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color w:val="auto"/>
          <w:kern w:val="0"/>
          <w:sz w:val="20"/>
          <w:szCs w:val="16"/>
        </w:rPr>
      </w:pPr>
    </w:p>
    <w:p>
      <w:pPr>
        <w:rPr>
          <w:rFonts w:ascii="Times New Roman" w:hAnsi="Times New Roman" w:cs="Times New Roman"/>
          <w:b/>
          <w:color w:val="auto"/>
          <w:sz w:val="28"/>
        </w:rPr>
      </w:pPr>
    </w:p>
    <w:p>
      <w:pPr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/>
          <w:color w:val="auto"/>
          <w:sz w:val="22"/>
        </w:rPr>
        <w:t>Table S3</w:t>
      </w:r>
      <w:r>
        <w:rPr>
          <w:rFonts w:ascii="Times New Roman" w:hAnsi="Times New Roman" w:cs="Times New Roman"/>
          <w:color w:val="auto"/>
          <w:sz w:val="22"/>
        </w:rPr>
        <w:t xml:space="preserve"> Surface species concentration by XPS for Li-S batteries with PP and Bi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2"/>
        </w:rPr>
        <w:t>MoO</w:t>
      </w:r>
      <w:r>
        <w:rPr>
          <w:rFonts w:ascii="Times New Roman" w:hAnsi="Times New Roman" w:cs="Times New Roman"/>
          <w:color w:val="auto"/>
          <w:sz w:val="22"/>
          <w:vertAlign w:val="subscript"/>
        </w:rPr>
        <w:t>6</w:t>
      </w:r>
      <w:r>
        <w:rPr>
          <w:rFonts w:ascii="Times New Roman" w:hAnsi="Times New Roman" w:cs="Times New Roman"/>
          <w:color w:val="auto"/>
          <w:sz w:val="22"/>
        </w:rPr>
        <w:t xml:space="preserve">-PPy@PP separator after cycling at 2 C. </w:t>
      </w:r>
    </w:p>
    <w:p>
      <w:pPr>
        <w:jc w:val="center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color w:val="auto"/>
          <w:sz w:val="22"/>
        </w:rPr>
        <w:drawing>
          <wp:inline distT="0" distB="0" distL="0" distR="0">
            <wp:extent cx="4693285" cy="9429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color w:val="auto"/>
          <w:sz w:val="22"/>
        </w:rPr>
      </w:pPr>
      <w:bookmarkStart w:id="7" w:name="_GoBack"/>
      <w:bookmarkEnd w:id="7"/>
    </w:p>
    <w:p>
      <w:pPr>
        <w:jc w:val="both"/>
        <w:rPr>
          <w:rFonts w:ascii="Times New Roman" w:hAnsi="Times New Roman" w:cs="Times New Roman"/>
          <w:color w:val="auto"/>
          <w:sz w:val="22"/>
        </w:rPr>
      </w:pPr>
    </w:p>
    <w:p>
      <w:pPr>
        <w:widowControl/>
        <w:jc w:val="left"/>
        <w:rPr>
          <w:rFonts w:ascii="Times New Roman" w:hAnsi="Times New Roman" w:cs="Times New Roman"/>
          <w:b/>
          <w:color w:val="auto"/>
          <w:sz w:val="36"/>
        </w:rPr>
      </w:pPr>
      <w:r>
        <w:rPr>
          <w:rFonts w:ascii="Times New Roman" w:hAnsi="Times New Roman" w:eastAsia="宋体" w:cs="Times New Roman"/>
          <w:b/>
          <w:color w:val="auto"/>
          <w:kern w:val="0"/>
          <w:sz w:val="22"/>
          <w:szCs w:val="16"/>
        </w:rPr>
        <w:t>References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fldChar w:fldCharType="begin"/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instrText xml:space="preserve"> ADDIN EN.REFLIST </w:instrText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fldChar w:fldCharType="separate"/>
      </w:r>
      <w:bookmarkStart w:id="6" w:name="_ENREF_1"/>
      <w:r>
        <w:rPr>
          <w:rFonts w:ascii="Times New Roman" w:hAnsi="Times New Roman" w:eastAsia="宋体" w:cs="Times New Roman"/>
          <w:color w:val="auto"/>
          <w:kern w:val="0"/>
          <w:szCs w:val="16"/>
        </w:rPr>
        <w:t>[1]</w:t>
      </w:r>
      <w:bookmarkEnd w:id="6"/>
      <w:r>
        <w:rPr>
          <w:rFonts w:ascii="Times New Roman" w:hAnsi="Times New Roman" w:eastAsia="宋体" w:cs="Times New Roman"/>
          <w:color w:val="auto"/>
          <w:kern w:val="0"/>
          <w:szCs w:val="16"/>
        </w:rPr>
        <w:t xml:space="preserve"> Zhu Y, Zuo Y, Ye F, et al. Dual-regulation strategy to enhance electrochemical catalysis ability of NiCo</w:t>
      </w:r>
      <w:r>
        <w:rPr>
          <w:rFonts w:ascii="Times New Roman" w:hAnsi="Times New Roman" w:eastAsia="宋体" w:cs="Times New Roman"/>
          <w:color w:val="auto"/>
          <w:kern w:val="0"/>
          <w:szCs w:val="16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16"/>
          <w:vertAlign w:val="subscript"/>
        </w:rPr>
        <w:t>4-x</w:t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t xml:space="preserve"> for polysulfides conversion in Li-S batteries. Chem Eng J, 2022, 428: 131109.</w:t>
      </w:r>
    </w:p>
    <w:p>
      <w:pP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[2] Rao Z, Meng J, Wu J, et al. Huang, Y. A multifunctional inorganic composite separator for stable high safety lithium-sulfur batteries. ACS Appl Energy Mater, 2020, 3: 10139-10146.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[3] Li F, Qian X, Jin L. MOF-derived MnS/N-C@CNT composites as separator coating materials for long-cycling Li-S batteries. ACS Sustainable Chem Eng, 2021, 9: 15469-15477.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[4] Li N, Xie Y, Peng S, et al. Ultra-lightweight Ti3C2Tx MXene modifified separator for Li-S batteries: Thickness regulation enabled polysulfifide inhibition and lithium ion transportation. J Energy Chem, 2020, 42: 116-125.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[5] Gui Y, Chen P, Liu D, et al. TiO</w:t>
      </w:r>
      <w:r>
        <w:rPr>
          <w:rFonts w:ascii="Times New Roman" w:hAnsi="Times New Roman" w:eastAsia="宋体" w:cs="Times New Roman"/>
          <w:color w:val="auto"/>
          <w:kern w:val="0"/>
          <w:szCs w:val="16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t xml:space="preserve"> nanotube/RGO modified separator as an effective polysulfide-barrier for high electrochemical performance Li-S batteries. J Alloy Comp, 2022, 895: 162495.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[6] Zhou Z. F, Li Y, Fang T. T, et al. MOF-derived Co</w:t>
      </w:r>
      <w:r>
        <w:rPr>
          <w:rFonts w:ascii="Times New Roman" w:hAnsi="Times New Roman" w:eastAsia="宋体" w:cs="Times New Roman"/>
          <w:color w:val="auto"/>
          <w:kern w:val="0"/>
          <w:szCs w:val="16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16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t xml:space="preserve"> polyhedrons as efficient polysulfides barrier on polyimide separators for high temperature lithium-sulfur batteries. Nanomaterials-Basel, 2019, 9: 1574.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[7] Guo Y, Zhang Y, Zhang Y, et al. Interwoven V</w:t>
      </w:r>
      <w:r>
        <w:rPr>
          <w:rFonts w:ascii="Times New Roman" w:hAnsi="Times New Roman" w:eastAsia="宋体" w:cs="Times New Roman"/>
          <w:color w:val="auto"/>
          <w:kern w:val="0"/>
          <w:szCs w:val="16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16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kern w:val="0"/>
          <w:szCs w:val="16"/>
        </w:rPr>
        <w:t> nanowire/graphene nanoscroll hybrid assembled as efficient polysulfide-trapping-conversion interlayer for long-life lithium-sulfur batteries. J Mater Chem A, 2018, 6: 19358-19370.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[8] Lei T. Y, Chen W, Hu Y, et al. A nonflammable and thermotolerant separator suppresses polysulfide dissolution for safe and long-cycle lithium-sulfur batteries. Adv Energy Mater, 2018, 8: 1802441.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[9] Li M, Wang C, Miao, L. X, et al. A separator-based lithium polysulfide recirculator for high-loading and high-performance Li-S batteries. J Mater Chem A, 2018, 6: 5862-5869.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[10] Fang D. L, Wang Y. L, Liu X. Z, et al. Spider-web-inspired nanocomposite-modified separator: structural and chemical cooperativity inhibiting the shuttle effect in Li-S batteries. ACS Nano, 2019, 13: 1563-1573.</w:t>
      </w:r>
    </w:p>
    <w:p>
      <w:pPr>
        <w:pStyle w:val="12"/>
        <w:jc w:val="both"/>
        <w:rPr>
          <w:rFonts w:ascii="Times New Roman" w:hAnsi="Times New Roman" w:eastAsia="宋体" w:cs="Times New Roman"/>
          <w:color w:val="auto"/>
          <w:kern w:val="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Cs w:val="16"/>
        </w:rPr>
        <w:t>[11] Lin J, Zhou Y, Wen J, et al. Pyrrole derivatives as interlayer modifier of Li-S batteries: modulation of electrochemical performance by molecular perturbation. J Energy Chem, 2022, 75: 164-172.</w:t>
      </w:r>
    </w:p>
    <w:p>
      <w:pP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[12] Zhu W, Zhang Z, Wei J, et al. A synergistic modification of polypropylene separator toward stable lithium-sulfur battery. J Memb Sci, 2020, 597: 117646.</w:t>
      </w:r>
    </w:p>
    <w:p>
      <w:pP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[13] Cheng P, Guo P, Liu D, et al. Fe</w:t>
      </w: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O</w:t>
      </w: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/RGO modified separators to suppress the shuttle effect for advanced lithium-sulfur batteries. J Alloys Compd, 2019, 784: 149-156.</w:t>
      </w:r>
    </w:p>
    <w:p>
      <w:pP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[14]Saroha R, Oh J. H, Lee J. S, et al. Hierarchically porous nanofibers comprising multiple core-shell Co</w:t>
      </w: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O</w:t>
      </w: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@graphitic carbon nanoparticles grafted within N-doped CNTs as functional interlayers for excellent Li-S batteries. Chem Eng J, 2021, 426: 130805.</w:t>
      </w:r>
    </w:p>
    <w:p>
      <w:pP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</w:pP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t>[15] Qiao S, Wang Q, Lei D, et al. Oxygen vacancy enabled fabrication of dual-atom Mn/Co catalysts for high-performance lithium-sulfur batteries. J Mater Chem A, 2022, 10: 11702-11711.</w:t>
      </w:r>
    </w:p>
    <w:p>
      <w:pPr>
        <w:jc w:val="both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eastAsia="宋体" w:cs="Times New Roman"/>
          <w:color w:val="auto"/>
          <w:kern w:val="0"/>
          <w:sz w:val="20"/>
          <w:szCs w:val="16"/>
        </w:rPr>
        <w:fldChar w:fldCharType="end"/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Roboto">
    <w:altName w:val="Times New Roman"/>
    <w:panose1 w:val="00000000000000000000"/>
    <w:charset w:val="00"/>
    <w:family w:val="auto"/>
    <w:pitch w:val="default"/>
    <w:sig w:usb0="00000000" w:usb1="00000000" w:usb2="00000020" w:usb3="00000000" w:csb0="0000019F" w:csb1="00000000"/>
  </w:font>
  <w:font w:name="Minion Pro">
    <w:altName w:val="Cambria Math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ITCFranklinGothic LT Med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82581654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>
        <w:pPr>
          <w:pStyle w:val="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S</w:t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3"/>
      <w:rPr>
        <w:rFonts w:ascii="Times New Roman" w:hAnsi="Times New Roman"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1MWZkMjVkNWU3NjU3MzhjZTNiNmFkYjY2NGFiYjgifQ=="/>
  </w:docVars>
  <w:rsids>
    <w:rsidRoot w:val="0069389C"/>
    <w:rsid w:val="00023695"/>
    <w:rsid w:val="000D4F85"/>
    <w:rsid w:val="00153402"/>
    <w:rsid w:val="001645B4"/>
    <w:rsid w:val="001873F5"/>
    <w:rsid w:val="001D1C10"/>
    <w:rsid w:val="00220810"/>
    <w:rsid w:val="002A2FDC"/>
    <w:rsid w:val="002A4BDB"/>
    <w:rsid w:val="002E47F3"/>
    <w:rsid w:val="00311BAF"/>
    <w:rsid w:val="00320FD4"/>
    <w:rsid w:val="00354240"/>
    <w:rsid w:val="003D3FCC"/>
    <w:rsid w:val="004A0BCE"/>
    <w:rsid w:val="004A58D4"/>
    <w:rsid w:val="00514E17"/>
    <w:rsid w:val="00551BDD"/>
    <w:rsid w:val="00564D46"/>
    <w:rsid w:val="005854AF"/>
    <w:rsid w:val="00591495"/>
    <w:rsid w:val="005B3DC4"/>
    <w:rsid w:val="0060283B"/>
    <w:rsid w:val="0069389C"/>
    <w:rsid w:val="007853B5"/>
    <w:rsid w:val="007975E1"/>
    <w:rsid w:val="007D5096"/>
    <w:rsid w:val="008214D2"/>
    <w:rsid w:val="00883582"/>
    <w:rsid w:val="008E14E4"/>
    <w:rsid w:val="009266D6"/>
    <w:rsid w:val="00965429"/>
    <w:rsid w:val="009A2000"/>
    <w:rsid w:val="00A205D6"/>
    <w:rsid w:val="00A359AE"/>
    <w:rsid w:val="00A46955"/>
    <w:rsid w:val="00AE5A2A"/>
    <w:rsid w:val="00B23D36"/>
    <w:rsid w:val="00B54903"/>
    <w:rsid w:val="00B641A6"/>
    <w:rsid w:val="00B71FC6"/>
    <w:rsid w:val="00B73982"/>
    <w:rsid w:val="00B85FE8"/>
    <w:rsid w:val="00B92B57"/>
    <w:rsid w:val="00BA5940"/>
    <w:rsid w:val="00C1334C"/>
    <w:rsid w:val="00C22059"/>
    <w:rsid w:val="00CC4A8B"/>
    <w:rsid w:val="00CD1ACC"/>
    <w:rsid w:val="00D54F79"/>
    <w:rsid w:val="00DC3EBB"/>
    <w:rsid w:val="00E30DBF"/>
    <w:rsid w:val="00E31EA3"/>
    <w:rsid w:val="00E46976"/>
    <w:rsid w:val="00E82C6E"/>
    <w:rsid w:val="00E84706"/>
    <w:rsid w:val="00E878D2"/>
    <w:rsid w:val="00EE6E1E"/>
    <w:rsid w:val="00F5190D"/>
    <w:rsid w:val="00F748F0"/>
    <w:rsid w:val="00F95741"/>
    <w:rsid w:val="157A3D9A"/>
    <w:rsid w:val="38FF45AD"/>
    <w:rsid w:val="3C3F0118"/>
    <w:rsid w:val="7488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EndNote Bibliography 字符"/>
    <w:basedOn w:val="6"/>
    <w:link w:val="12"/>
    <w:qFormat/>
    <w:locked/>
    <w:uiPriority w:val="0"/>
    <w:rPr>
      <w:rFonts w:ascii="Calibri" w:hAnsi="Calibri" w:cs="Calibri"/>
      <w:sz w:val="20"/>
    </w:rPr>
  </w:style>
  <w:style w:type="paragraph" w:customStyle="1" w:styleId="12">
    <w:name w:val="EndNote Bibliography"/>
    <w:basedOn w:val="1"/>
    <w:link w:val="11"/>
    <w:qFormat/>
    <w:uiPriority w:val="0"/>
    <w:pPr>
      <w:jc w:val="left"/>
    </w:pPr>
    <w:rPr>
      <w:rFonts w:ascii="Calibri" w:hAnsi="Calibri" w:cs="Calibri"/>
      <w:sz w:val="20"/>
    </w:rPr>
  </w:style>
  <w:style w:type="character" w:customStyle="1" w:styleId="13">
    <w:name w:val="明显强调1"/>
    <w:qFormat/>
    <w:uiPriority w:val="21"/>
    <w:rPr>
      <w:color w:val="376092" w:themeColor="accent1" w:themeShade="B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microsoft.com/office/2007/relationships/hdphoto" Target="media/image15.wdp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955</Words>
  <Characters>5240</Characters>
  <Lines>43</Lines>
  <Paragraphs>12</Paragraphs>
  <TotalTime>0</TotalTime>
  <ScaleCrop>false</ScaleCrop>
  <LinksUpToDate>false</LinksUpToDate>
  <CharactersWithSpaces>6163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2022-10-06T02:36:00Z</dcterms:created>
  <dc:creator>pc</dc:creator>
  <cp:lastModifiedBy>只愿心安</cp:lastModifiedBy>
  <dcterms:modified xsi:type="dcterms:W3CDTF">2022-12-07T11:45:03Z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795208516CE947F79DE9FCE9241CA0C6</vt:lpwstr>
  </property>
</Properties>
</file>