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6A9" w:rsidRDefault="00D326A9" w:rsidP="00D326A9">
      <w:pPr>
        <w:pStyle w:val="H1"/>
        <w:spacing w:line="360" w:lineRule="auto"/>
        <w:jc w:val="center"/>
        <w:rPr>
          <w:rFonts w:ascii="Times New Roman" w:hAnsi="Times New Roman"/>
          <w:sz w:val="28"/>
        </w:rPr>
      </w:pPr>
    </w:p>
    <w:p w:rsidR="00D326A9" w:rsidRDefault="00D326A9" w:rsidP="00D326A9">
      <w:pPr>
        <w:pStyle w:val="H1"/>
        <w:spacing w:line="360" w:lineRule="auto"/>
        <w:jc w:val="center"/>
        <w:rPr>
          <w:rFonts w:ascii="Times New Roman" w:hAnsi="Times New Roman"/>
          <w:sz w:val="28"/>
        </w:rPr>
      </w:pPr>
    </w:p>
    <w:p w:rsidR="00D326A9" w:rsidRDefault="00D326A9" w:rsidP="00D326A9">
      <w:pPr>
        <w:pStyle w:val="H1"/>
        <w:spacing w:line="360" w:lineRule="auto"/>
        <w:jc w:val="center"/>
        <w:rPr>
          <w:rFonts w:ascii="Times New Roman" w:hAnsi="Times New Roman"/>
          <w:sz w:val="28"/>
        </w:rPr>
      </w:pPr>
    </w:p>
    <w:p w:rsidR="009F61FE" w:rsidRPr="00C64B6E" w:rsidRDefault="00D326A9" w:rsidP="00D326A9">
      <w:pPr>
        <w:pStyle w:val="H1"/>
        <w:spacing w:line="360" w:lineRule="auto"/>
        <w:jc w:val="center"/>
        <w:rPr>
          <w:rFonts w:ascii="Times New Roman" w:hAnsi="Times New Roman"/>
        </w:rPr>
      </w:pPr>
      <w:r w:rsidRPr="00F43A29">
        <w:rPr>
          <w:rFonts w:ascii="Times New Roman" w:hAnsi="Times New Roman"/>
          <w:sz w:val="28"/>
        </w:rPr>
        <w:t>Supplementary information</w:t>
      </w:r>
      <w:r w:rsidRPr="00F43A29">
        <w:rPr>
          <w:rFonts w:ascii="Times New Roman" w:hAnsi="Times New Roman"/>
          <w:sz w:val="28"/>
        </w:rPr>
        <w:cr/>
      </w:r>
    </w:p>
    <w:p w:rsidR="009F61FE" w:rsidRDefault="009F61FE" w:rsidP="004D03F6">
      <w:pPr>
        <w:rPr>
          <w:rFonts w:ascii="Times New Roman" w:hAnsi="Times New Roman" w:cs="Times New Roman"/>
          <w:b/>
          <w:sz w:val="24"/>
          <w:szCs w:val="24"/>
        </w:rPr>
      </w:pPr>
      <w:bookmarkStart w:id="0" w:name="OLE_LINK26"/>
      <w:bookmarkStart w:id="1" w:name="OLE_LINK27"/>
      <w:bookmarkStart w:id="2" w:name="OLE_LINK4"/>
      <w:bookmarkStart w:id="3" w:name="OLE_LINK5"/>
      <w:bookmarkStart w:id="4" w:name="OLE_LINK30"/>
      <w:r w:rsidRPr="00C64B6E">
        <w:rPr>
          <w:rFonts w:ascii="Times New Roman" w:hAnsi="Times New Roman" w:cs="Times New Roman"/>
          <w:b/>
          <w:sz w:val="24"/>
          <w:szCs w:val="24"/>
        </w:rPr>
        <w:t>Pseudocapacitive</w:t>
      </w:r>
      <w:bookmarkEnd w:id="0"/>
      <w:bookmarkEnd w:id="1"/>
      <w:r w:rsidRPr="00C64B6E">
        <w:rPr>
          <w:rFonts w:ascii="Times New Roman" w:hAnsi="Times New Roman" w:cs="Times New Roman"/>
          <w:b/>
          <w:sz w:val="24"/>
          <w:szCs w:val="24"/>
        </w:rPr>
        <w:t xml:space="preserve"> Layered Iron Vanadate Nanosheets Cathode for Ultrahigh-Rate Lithium Ion Storage </w:t>
      </w:r>
      <w:bookmarkEnd w:id="2"/>
      <w:bookmarkEnd w:id="3"/>
      <w:bookmarkEnd w:id="4"/>
    </w:p>
    <w:p w:rsidR="00EE47ED" w:rsidRPr="00C64B6E" w:rsidRDefault="00EE47ED" w:rsidP="004D03F6">
      <w:pPr>
        <w:rPr>
          <w:rFonts w:ascii="Times New Roman" w:hAnsi="Times New Roman" w:cs="Times New Roman"/>
          <w:b/>
          <w:sz w:val="24"/>
          <w:szCs w:val="24"/>
        </w:rPr>
      </w:pPr>
    </w:p>
    <w:p w:rsidR="00EE47ED" w:rsidRDefault="00EE47ED" w:rsidP="00EE47ED">
      <w:pPr>
        <w:rPr>
          <w:rFonts w:ascii="Times New Roman" w:hAnsi="Times New Roman" w:cs="Times New Roman"/>
          <w:i/>
          <w:kern w:val="0"/>
          <w:szCs w:val="20"/>
          <w:lang w:eastAsia="en-US"/>
        </w:rPr>
      </w:pPr>
      <w:r w:rsidRPr="00EE47ED">
        <w:rPr>
          <w:rFonts w:ascii="Times New Roman" w:hAnsi="Times New Roman" w:cs="Times New Roman"/>
          <w:i/>
          <w:kern w:val="0"/>
          <w:szCs w:val="20"/>
          <w:lang w:eastAsia="en-US"/>
        </w:rPr>
        <w:t>Qiulong Wei</w:t>
      </w: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Qinqin Wang</w:t>
      </w:r>
      <w:r w:rsidRPr="00EE47ED">
        <w:rPr>
          <w:rFonts w:ascii="Times New Roman" w:hAnsi="Times New Roman" w:cs="Times New Roman"/>
          <w:i/>
          <w:kern w:val="0"/>
          <w:szCs w:val="20"/>
          <w:vertAlign w:val="superscript"/>
          <w:lang w:eastAsia="en-US"/>
        </w:rPr>
        <w:t>3</w:t>
      </w:r>
      <w:r w:rsidRPr="00EE47ED">
        <w:rPr>
          <w:rFonts w:ascii="Times New Roman" w:hAnsi="Times New Roman" w:cs="Times New Roman"/>
          <w:i/>
          <w:kern w:val="0"/>
          <w:szCs w:val="20"/>
          <w:lang w:eastAsia="en-US"/>
        </w:rPr>
        <w:t>, Qidong Li</w:t>
      </w: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Qinyou An</w:t>
      </w: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Yunlong Zhao</w:t>
      </w:r>
      <w:r w:rsidRPr="00EE47ED">
        <w:rPr>
          <w:rFonts w:ascii="Times New Roman" w:hAnsi="Times New Roman" w:cs="Times New Roman"/>
          <w:i/>
          <w:kern w:val="0"/>
          <w:szCs w:val="20"/>
          <w:vertAlign w:val="superscript"/>
          <w:lang w:eastAsia="en-US"/>
        </w:rPr>
        <w:t>4</w:t>
      </w:r>
      <w:r w:rsidRPr="00EE47ED">
        <w:rPr>
          <w:rFonts w:ascii="Times New Roman" w:hAnsi="Times New Roman" w:cs="Times New Roman"/>
          <w:i/>
          <w:kern w:val="0"/>
          <w:szCs w:val="20"/>
          <w:lang w:eastAsia="en-US"/>
        </w:rPr>
        <w:t>, Zhuo Peng</w:t>
      </w: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Yalong Jiang</w:t>
      </w: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Shuangshuang Tan</w:t>
      </w: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Mengyu Yan</w:t>
      </w: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xml:space="preserve"> and Liqiang Mai</w:t>
      </w:r>
      <w:r w:rsidRPr="00EE47ED">
        <w:rPr>
          <w:rFonts w:ascii="Times New Roman" w:hAnsi="Times New Roman" w:cs="Times New Roman"/>
          <w:i/>
          <w:kern w:val="0"/>
          <w:szCs w:val="20"/>
          <w:vertAlign w:val="superscript"/>
          <w:lang w:eastAsia="en-US"/>
        </w:rPr>
        <w:t>1,2</w:t>
      </w:r>
      <w:r w:rsidRPr="00EE47ED">
        <w:rPr>
          <w:rFonts w:ascii="Times New Roman" w:hAnsi="Times New Roman" w:cs="Times New Roman"/>
          <w:i/>
          <w:kern w:val="0"/>
          <w:szCs w:val="20"/>
          <w:lang w:eastAsia="en-US"/>
        </w:rPr>
        <w:t>*</w:t>
      </w:r>
    </w:p>
    <w:p w:rsidR="00731C53" w:rsidRPr="00EE47ED" w:rsidRDefault="00731C53" w:rsidP="00EE47ED">
      <w:pPr>
        <w:rPr>
          <w:rFonts w:ascii="Times New Roman" w:hAnsi="Times New Roman" w:cs="Times New Roman"/>
          <w:i/>
          <w:kern w:val="0"/>
          <w:szCs w:val="20"/>
          <w:lang w:eastAsia="en-US"/>
        </w:rPr>
      </w:pPr>
    </w:p>
    <w:p w:rsidR="00EE47ED" w:rsidRPr="00EE47ED" w:rsidRDefault="00EE47ED" w:rsidP="00EE47ED">
      <w:pPr>
        <w:rPr>
          <w:rFonts w:ascii="Times New Roman" w:hAnsi="Times New Roman" w:cs="Times New Roman"/>
          <w:i/>
          <w:kern w:val="0"/>
          <w:szCs w:val="20"/>
          <w:lang w:eastAsia="en-US"/>
        </w:rPr>
      </w:pPr>
      <w:r w:rsidRPr="00EE47ED">
        <w:rPr>
          <w:rFonts w:ascii="Times New Roman" w:hAnsi="Times New Roman" w:cs="Times New Roman"/>
          <w:i/>
          <w:kern w:val="0"/>
          <w:szCs w:val="20"/>
          <w:vertAlign w:val="superscript"/>
          <w:lang w:eastAsia="en-US"/>
        </w:rPr>
        <w:t>1</w:t>
      </w:r>
      <w:r w:rsidRPr="00EE47ED">
        <w:rPr>
          <w:rFonts w:ascii="Times New Roman" w:hAnsi="Times New Roman" w:cs="Times New Roman"/>
          <w:i/>
          <w:kern w:val="0"/>
          <w:szCs w:val="20"/>
          <w:lang w:eastAsia="en-US"/>
        </w:rPr>
        <w:t xml:space="preserve"> State Key Laboratory of Advanced Technology for Materials Synthesis and Processing, International School of Materials Science and Engineering, Wuhan University of Technology, Wuhan 430070, P.R. China</w:t>
      </w:r>
    </w:p>
    <w:p w:rsidR="00EE47ED" w:rsidRPr="00EE47ED" w:rsidRDefault="00EE47ED" w:rsidP="00EE47ED">
      <w:pPr>
        <w:rPr>
          <w:rFonts w:ascii="Times New Roman" w:hAnsi="Times New Roman" w:cs="Times New Roman"/>
          <w:i/>
          <w:kern w:val="0"/>
          <w:szCs w:val="20"/>
          <w:vertAlign w:val="superscript"/>
          <w:lang w:eastAsia="en-US"/>
        </w:rPr>
      </w:pPr>
      <w:r w:rsidRPr="00EE47ED">
        <w:rPr>
          <w:rFonts w:ascii="Times New Roman" w:hAnsi="Times New Roman" w:cs="Times New Roman"/>
          <w:i/>
          <w:kern w:val="0"/>
          <w:szCs w:val="20"/>
          <w:vertAlign w:val="superscript"/>
          <w:lang w:eastAsia="en-US"/>
        </w:rPr>
        <w:t xml:space="preserve">2 </w:t>
      </w:r>
      <w:r w:rsidRPr="00EE47ED">
        <w:rPr>
          <w:rFonts w:ascii="Times New Roman" w:hAnsi="Times New Roman" w:cs="Times New Roman"/>
          <w:i/>
          <w:kern w:val="0"/>
          <w:szCs w:val="20"/>
          <w:lang w:eastAsia="en-US"/>
        </w:rPr>
        <w:t xml:space="preserve">Department of Chemistry, University of California, Berkeley, </w:t>
      </w:r>
      <w:bookmarkStart w:id="5" w:name="OLE_LINK2"/>
      <w:bookmarkStart w:id="6" w:name="OLE_LINK3"/>
      <w:r w:rsidRPr="00EE47ED">
        <w:rPr>
          <w:rFonts w:ascii="Times New Roman" w:hAnsi="Times New Roman" w:cs="Times New Roman"/>
          <w:i/>
          <w:kern w:val="0"/>
          <w:szCs w:val="20"/>
          <w:lang w:eastAsia="en-US"/>
        </w:rPr>
        <w:t xml:space="preserve">California </w:t>
      </w:r>
      <w:bookmarkEnd w:id="5"/>
      <w:bookmarkEnd w:id="6"/>
      <w:r w:rsidRPr="00EE47ED">
        <w:rPr>
          <w:rFonts w:ascii="Times New Roman" w:hAnsi="Times New Roman" w:cs="Times New Roman"/>
          <w:i/>
          <w:kern w:val="0"/>
          <w:szCs w:val="20"/>
          <w:lang w:eastAsia="en-US"/>
        </w:rPr>
        <w:t>94720, USA</w:t>
      </w:r>
      <w:r w:rsidRPr="00EE47ED">
        <w:rPr>
          <w:rFonts w:ascii="Times New Roman" w:hAnsi="Times New Roman" w:cs="Times New Roman"/>
          <w:i/>
          <w:kern w:val="0"/>
          <w:szCs w:val="20"/>
          <w:vertAlign w:val="superscript"/>
          <w:lang w:eastAsia="en-US"/>
        </w:rPr>
        <w:t xml:space="preserve"> </w:t>
      </w:r>
    </w:p>
    <w:p w:rsidR="00EE47ED" w:rsidRPr="00EE47ED" w:rsidRDefault="00EE47ED" w:rsidP="00EE47ED">
      <w:pPr>
        <w:rPr>
          <w:rFonts w:ascii="Times New Roman" w:hAnsi="Times New Roman" w:cs="Times New Roman"/>
          <w:i/>
          <w:kern w:val="0"/>
          <w:szCs w:val="20"/>
          <w:lang w:eastAsia="en-US"/>
        </w:rPr>
      </w:pPr>
      <w:r w:rsidRPr="00EE47ED">
        <w:rPr>
          <w:rFonts w:ascii="Times New Roman" w:hAnsi="Times New Roman" w:cs="Times New Roman"/>
          <w:i/>
          <w:kern w:val="0"/>
          <w:szCs w:val="20"/>
          <w:vertAlign w:val="superscript"/>
          <w:lang w:eastAsia="en-US"/>
        </w:rPr>
        <w:t xml:space="preserve">3 </w:t>
      </w:r>
      <w:r w:rsidRPr="00EE47ED">
        <w:rPr>
          <w:rFonts w:ascii="Times New Roman" w:hAnsi="Times New Roman" w:cs="Times New Roman"/>
          <w:i/>
          <w:kern w:val="0"/>
          <w:szCs w:val="20"/>
          <w:lang w:eastAsia="en-US"/>
        </w:rPr>
        <w:t>Institute of Physics, Chinese Academy of Sciences, Beijing 100190, P.R. China</w:t>
      </w:r>
    </w:p>
    <w:p w:rsidR="00EE47ED" w:rsidRPr="00EE47ED" w:rsidRDefault="00EE47ED" w:rsidP="00EE47ED">
      <w:pPr>
        <w:rPr>
          <w:rFonts w:ascii="Times New Roman" w:hAnsi="Times New Roman" w:cs="Times New Roman"/>
          <w:i/>
          <w:kern w:val="0"/>
          <w:szCs w:val="20"/>
          <w:lang w:eastAsia="en-US"/>
        </w:rPr>
      </w:pPr>
      <w:r w:rsidRPr="00EE47ED">
        <w:rPr>
          <w:rFonts w:ascii="Times New Roman" w:hAnsi="Times New Roman" w:cs="Times New Roman"/>
          <w:i/>
          <w:kern w:val="0"/>
          <w:szCs w:val="20"/>
          <w:vertAlign w:val="superscript"/>
          <w:lang w:eastAsia="en-US"/>
        </w:rPr>
        <w:t>4</w:t>
      </w:r>
      <w:r w:rsidRPr="00EE47ED">
        <w:rPr>
          <w:rFonts w:ascii="Times New Roman" w:hAnsi="Times New Roman" w:cs="Times New Roman"/>
          <w:i/>
          <w:kern w:val="0"/>
          <w:szCs w:val="20"/>
          <w:lang w:eastAsia="en-US"/>
        </w:rPr>
        <w:t xml:space="preserve"> Department of Chemistry and Chemical Biology and Harvard John A. Paulson School of Engineering and Applied Sciences, Harvard University, Cambridge, Massachusetts 02138, USA</w:t>
      </w:r>
    </w:p>
    <w:p w:rsidR="00EE47ED" w:rsidRPr="00EE47ED" w:rsidRDefault="00EE47ED" w:rsidP="00EE47ED">
      <w:pPr>
        <w:rPr>
          <w:rFonts w:ascii="Times New Roman" w:hAnsi="Times New Roman" w:cs="Times New Roman"/>
          <w:i/>
          <w:kern w:val="0"/>
          <w:szCs w:val="20"/>
          <w:vertAlign w:val="superscript"/>
          <w:lang w:eastAsia="en-US"/>
        </w:rPr>
      </w:pPr>
    </w:p>
    <w:p w:rsidR="00EE47ED" w:rsidRPr="00EE47ED" w:rsidRDefault="00EE47ED" w:rsidP="00EE47ED">
      <w:pPr>
        <w:rPr>
          <w:rFonts w:ascii="Times New Roman" w:hAnsi="Times New Roman" w:cs="Times New Roman"/>
          <w:bCs/>
          <w:i/>
          <w:kern w:val="0"/>
          <w:szCs w:val="20"/>
          <w:lang w:eastAsia="en-US"/>
        </w:rPr>
      </w:pPr>
      <w:r w:rsidRPr="00EE47ED">
        <w:rPr>
          <w:rFonts w:ascii="Times New Roman" w:hAnsi="Times New Roman" w:cs="Times New Roman"/>
          <w:i/>
          <w:kern w:val="0"/>
          <w:szCs w:val="20"/>
          <w:lang w:eastAsia="en-US"/>
        </w:rPr>
        <w:t xml:space="preserve">KEYWORDS: </w:t>
      </w:r>
      <w:r w:rsidRPr="00EE47ED">
        <w:rPr>
          <w:rFonts w:ascii="Times New Roman" w:hAnsi="Times New Roman" w:cs="Times New Roman"/>
          <w:bCs/>
          <w:i/>
          <w:kern w:val="0"/>
          <w:szCs w:val="20"/>
          <w:lang w:eastAsia="en-US"/>
        </w:rPr>
        <w:t xml:space="preserve">two-dimensional materials, pseudocapacitive cathode, layered iron vanadate, lithium storage, </w:t>
      </w:r>
      <w:r w:rsidRPr="00EE47ED">
        <w:rPr>
          <w:rFonts w:ascii="Times New Roman" w:hAnsi="Times New Roman" w:cs="Times New Roman"/>
          <w:i/>
          <w:kern w:val="0"/>
          <w:szCs w:val="20"/>
          <w:lang w:eastAsia="en-US"/>
        </w:rPr>
        <w:t>high rate</w:t>
      </w:r>
    </w:p>
    <w:p w:rsidR="009F61FE" w:rsidRPr="00C64B6E" w:rsidRDefault="009F61FE" w:rsidP="004D03F6">
      <w:pPr>
        <w:jc w:val="center"/>
        <w:rPr>
          <w:rFonts w:ascii="Times New Roman" w:hAnsi="Times New Roman" w:cs="Times New Roman"/>
        </w:rPr>
      </w:pPr>
    </w:p>
    <w:p w:rsidR="00950B7A" w:rsidRDefault="00950B7A">
      <w:pPr>
        <w:widowControl/>
        <w:jc w:val="left"/>
        <w:rPr>
          <w:rFonts w:ascii="Times New Roman" w:hAnsi="Times New Roman" w:cs="Times New Roman"/>
          <w:b/>
          <w:kern w:val="0"/>
          <w:sz w:val="24"/>
          <w:szCs w:val="20"/>
          <w:lang w:eastAsia="en-US"/>
        </w:rPr>
      </w:pPr>
      <w:r>
        <w:rPr>
          <w:rFonts w:ascii="Times New Roman" w:hAnsi="Times New Roman"/>
          <w:b/>
        </w:rPr>
        <w:br w:type="page"/>
      </w:r>
    </w:p>
    <w:p w:rsidR="009F61FE" w:rsidRPr="002C6B67" w:rsidRDefault="009F61FE" w:rsidP="0006647B">
      <w:pPr>
        <w:pStyle w:val="TESupportingInformation"/>
        <w:spacing w:after="240" w:line="360" w:lineRule="auto"/>
        <w:ind w:firstLine="0"/>
        <w:jc w:val="center"/>
        <w:rPr>
          <w:rFonts w:ascii="Times New Roman" w:hAnsi="Times New Roman"/>
          <w:szCs w:val="24"/>
        </w:rPr>
      </w:pPr>
      <w:r w:rsidRPr="002C6B67">
        <w:rPr>
          <w:rFonts w:ascii="Times New Roman" w:hAnsi="Times New Roman"/>
          <w:noProof/>
          <w:szCs w:val="24"/>
          <w:lang w:eastAsia="zh-CN"/>
        </w:rPr>
        <w:lastRenderedPageBreak/>
        <w:drawing>
          <wp:inline distT="0" distB="0" distL="0" distR="0" wp14:anchorId="27D11CBF" wp14:editId="1C488529">
            <wp:extent cx="4680000" cy="3477524"/>
            <wp:effectExtent l="0" t="0" r="6350" b="88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0000" cy="3477524"/>
                    </a:xfrm>
                    <a:prstGeom prst="rect">
                      <a:avLst/>
                    </a:prstGeom>
                    <a:noFill/>
                  </pic:spPr>
                </pic:pic>
              </a:graphicData>
            </a:graphic>
          </wp:inline>
        </w:drawing>
      </w:r>
    </w:p>
    <w:p w:rsidR="009F61FE" w:rsidRDefault="009F61FE" w:rsidP="00950B7A">
      <w:pPr>
        <w:spacing w:line="360" w:lineRule="auto"/>
        <w:rPr>
          <w:rFonts w:ascii="Times New Roman" w:hAnsi="Times New Roman" w:cs="Times New Roman"/>
          <w:sz w:val="24"/>
          <w:szCs w:val="24"/>
        </w:rPr>
      </w:pPr>
      <w:r w:rsidRPr="002C6B67">
        <w:rPr>
          <w:rFonts w:ascii="Times New Roman" w:hAnsi="Times New Roman" w:cs="Times New Roman"/>
          <w:b/>
          <w:sz w:val="24"/>
          <w:szCs w:val="24"/>
        </w:rPr>
        <w:t>Figure S1.</w:t>
      </w:r>
      <w:r w:rsidRPr="002C6B67">
        <w:rPr>
          <w:rFonts w:ascii="Times New Roman" w:hAnsi="Times New Roman" w:cs="Times New Roman"/>
          <w:sz w:val="24"/>
          <w:szCs w:val="24"/>
        </w:rPr>
        <w:t xml:space="preserve"> (a) Schematic illustration of the formation process from amorphous NPs to layered NSs. (b-f) The SEM images of the products with various bath reaction times: 1 min (b), 10 min (c), 20 min (d), 40 min (e), and 1 hour (f), respectively. </w:t>
      </w:r>
    </w:p>
    <w:p w:rsidR="002C6B67" w:rsidRDefault="002C6B67" w:rsidP="00950B7A">
      <w:pPr>
        <w:spacing w:line="360" w:lineRule="auto"/>
        <w:rPr>
          <w:rFonts w:ascii="Times New Roman" w:hAnsi="Times New Roman" w:cs="Times New Roman"/>
          <w:sz w:val="24"/>
          <w:szCs w:val="24"/>
        </w:rPr>
      </w:pPr>
    </w:p>
    <w:p w:rsidR="009F61FE" w:rsidRPr="002C6B67" w:rsidRDefault="009F61FE" w:rsidP="00950B7A">
      <w:pPr>
        <w:spacing w:line="360" w:lineRule="auto"/>
        <w:jc w:val="center"/>
        <w:rPr>
          <w:rFonts w:ascii="Times New Roman" w:hAnsi="Times New Roman" w:cs="Times New Roman"/>
          <w:sz w:val="24"/>
          <w:szCs w:val="24"/>
        </w:rPr>
      </w:pPr>
      <w:r w:rsidRPr="002C6B67">
        <w:rPr>
          <w:rFonts w:ascii="Times New Roman" w:hAnsi="Times New Roman" w:cs="Times New Roman"/>
          <w:noProof/>
          <w:sz w:val="24"/>
          <w:szCs w:val="24"/>
        </w:rPr>
        <w:drawing>
          <wp:inline distT="0" distB="0" distL="0" distR="0" wp14:anchorId="25292B18" wp14:editId="37671036">
            <wp:extent cx="4320000" cy="1702363"/>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1702363"/>
                    </a:xfrm>
                    <a:prstGeom prst="rect">
                      <a:avLst/>
                    </a:prstGeom>
                    <a:noFill/>
                  </pic:spPr>
                </pic:pic>
              </a:graphicData>
            </a:graphic>
          </wp:inline>
        </w:drawing>
      </w:r>
    </w:p>
    <w:p w:rsidR="009F61FE" w:rsidRDefault="009F61FE" w:rsidP="00950B7A">
      <w:pPr>
        <w:spacing w:line="360" w:lineRule="auto"/>
        <w:rPr>
          <w:rFonts w:ascii="Times New Roman" w:hAnsi="Times New Roman" w:cs="Times New Roman"/>
          <w:sz w:val="24"/>
          <w:szCs w:val="24"/>
        </w:rPr>
      </w:pPr>
      <w:r w:rsidRPr="002C6B67">
        <w:rPr>
          <w:rFonts w:ascii="Times New Roman" w:hAnsi="Times New Roman" w:cs="Times New Roman"/>
          <w:b/>
          <w:sz w:val="24"/>
          <w:szCs w:val="24"/>
        </w:rPr>
        <w:t>Figure S2.</w:t>
      </w:r>
      <w:r w:rsidRPr="002C6B67">
        <w:rPr>
          <w:rFonts w:ascii="Times New Roman" w:hAnsi="Times New Roman" w:cs="Times New Roman"/>
          <w:sz w:val="24"/>
          <w:szCs w:val="24"/>
        </w:rPr>
        <w:t xml:space="preserve"> (a) Low magnification SEM of layered FeVO NSs showing a relatively large area of the nanosheets. (b) The EDS element mapping showing the uniform distribution of Fe, V and O. </w:t>
      </w:r>
    </w:p>
    <w:p w:rsidR="008F254A" w:rsidRPr="002C6B67" w:rsidRDefault="008F254A" w:rsidP="00950B7A">
      <w:pPr>
        <w:spacing w:line="360" w:lineRule="auto"/>
        <w:rPr>
          <w:rFonts w:ascii="Times New Roman" w:hAnsi="Times New Roman" w:cs="Times New Roman"/>
          <w:sz w:val="24"/>
          <w:szCs w:val="24"/>
        </w:rPr>
      </w:pPr>
    </w:p>
    <w:p w:rsidR="008F254A" w:rsidRDefault="008F254A" w:rsidP="008F254A">
      <w:pPr>
        <w:spacing w:line="360" w:lineRule="auto"/>
        <w:rPr>
          <w:rFonts w:ascii="Times New Roman" w:hAnsi="Times New Roman" w:cs="Times New Roman"/>
          <w:b/>
          <w:sz w:val="24"/>
          <w:szCs w:val="24"/>
        </w:rPr>
      </w:pPr>
    </w:p>
    <w:p w:rsidR="008F254A" w:rsidRDefault="008F254A">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8F254A" w:rsidRDefault="008F254A" w:rsidP="008F254A">
      <w:pPr>
        <w:spacing w:line="360" w:lineRule="auto"/>
        <w:rPr>
          <w:rFonts w:ascii="Times New Roman" w:hAnsi="Times New Roman" w:cs="Times New Roman"/>
          <w:sz w:val="24"/>
          <w:szCs w:val="24"/>
        </w:rPr>
      </w:pPr>
      <w:r w:rsidRPr="00270FFD">
        <w:rPr>
          <w:rFonts w:ascii="Times New Roman" w:hAnsi="Times New Roman" w:cs="Times New Roman"/>
          <w:b/>
          <w:sz w:val="24"/>
          <w:szCs w:val="24"/>
        </w:rPr>
        <w:lastRenderedPageBreak/>
        <w:t>Table S1.</w:t>
      </w:r>
      <w:r w:rsidRPr="003D0D1F">
        <w:rPr>
          <w:rFonts w:ascii="Times New Roman" w:hAnsi="Times New Roman" w:cs="Times New Roman"/>
          <w:sz w:val="24"/>
          <w:szCs w:val="24"/>
        </w:rPr>
        <w:t xml:space="preserve"> The </w:t>
      </w:r>
      <w:r>
        <w:rPr>
          <w:rFonts w:ascii="Times New Roman" w:hAnsi="Times New Roman" w:cs="Times New Roman"/>
          <w:sz w:val="24"/>
          <w:szCs w:val="24"/>
        </w:rPr>
        <w:t xml:space="preserve">V </w:t>
      </w:r>
      <w:r w:rsidRPr="003D0D1F">
        <w:rPr>
          <w:rFonts w:ascii="Times New Roman" w:hAnsi="Times New Roman" w:cs="Times New Roman"/>
          <w:sz w:val="24"/>
          <w:szCs w:val="24"/>
        </w:rPr>
        <w:t>:</w:t>
      </w:r>
      <w:r>
        <w:rPr>
          <w:rFonts w:ascii="Times New Roman" w:hAnsi="Times New Roman" w:cs="Times New Roman"/>
          <w:sz w:val="24"/>
          <w:szCs w:val="24"/>
        </w:rPr>
        <w:t xml:space="preserve"> Fe</w:t>
      </w:r>
      <w:r w:rsidRPr="003D0D1F">
        <w:rPr>
          <w:rFonts w:ascii="Times New Roman" w:hAnsi="Times New Roman" w:cs="Times New Roman"/>
          <w:sz w:val="24"/>
          <w:szCs w:val="24"/>
        </w:rPr>
        <w:t xml:space="preserve"> ratio of the </w:t>
      </w:r>
      <w:r>
        <w:rPr>
          <w:rFonts w:ascii="Times New Roman" w:hAnsi="Times New Roman" w:cs="Times New Roman"/>
          <w:sz w:val="24"/>
          <w:szCs w:val="24"/>
        </w:rPr>
        <w:t xml:space="preserve">FeVO NSs </w:t>
      </w:r>
      <w:r w:rsidRPr="003D0D1F">
        <w:rPr>
          <w:rFonts w:ascii="Times New Roman" w:hAnsi="Times New Roman" w:cs="Times New Roman"/>
          <w:sz w:val="24"/>
          <w:szCs w:val="24"/>
        </w:rPr>
        <w:t xml:space="preserve">from ICP analysis. </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2815"/>
      </w:tblGrid>
      <w:tr w:rsidR="008F254A" w:rsidRPr="003D0D1F" w:rsidTr="00DB1B75">
        <w:tc>
          <w:tcPr>
            <w:tcW w:w="1659" w:type="dxa"/>
            <w:tcBorders>
              <w:top w:val="single" w:sz="4" w:space="0" w:color="auto"/>
              <w:bottom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sidRPr="003D0D1F">
              <w:rPr>
                <w:rFonts w:ascii="Times New Roman" w:hAnsi="Times New Roman" w:cs="Times New Roman"/>
                <w:sz w:val="24"/>
                <w:szCs w:val="24"/>
              </w:rPr>
              <w:t>sample</w:t>
            </w:r>
          </w:p>
        </w:tc>
        <w:tc>
          <w:tcPr>
            <w:tcW w:w="1659" w:type="dxa"/>
            <w:tcBorders>
              <w:top w:val="single" w:sz="4" w:space="0" w:color="auto"/>
              <w:bottom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sidRPr="003D0D1F">
              <w:rPr>
                <w:rFonts w:ascii="Times New Roman" w:hAnsi="Times New Roman" w:cs="Times New Roman"/>
                <w:sz w:val="24"/>
                <w:szCs w:val="24"/>
              </w:rPr>
              <w:t>V (wt.%)</w:t>
            </w:r>
          </w:p>
        </w:tc>
        <w:tc>
          <w:tcPr>
            <w:tcW w:w="1659" w:type="dxa"/>
            <w:tcBorders>
              <w:top w:val="single" w:sz="4" w:space="0" w:color="auto"/>
              <w:bottom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sidRPr="003D0D1F">
              <w:rPr>
                <w:rFonts w:ascii="Times New Roman" w:hAnsi="Times New Roman" w:cs="Times New Roman"/>
                <w:sz w:val="24"/>
                <w:szCs w:val="24"/>
              </w:rPr>
              <w:t>Fe (wt.%)</w:t>
            </w:r>
          </w:p>
        </w:tc>
        <w:tc>
          <w:tcPr>
            <w:tcW w:w="2815" w:type="dxa"/>
            <w:tcBorders>
              <w:top w:val="single" w:sz="4" w:space="0" w:color="auto"/>
              <w:bottom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sidRPr="003D0D1F">
              <w:rPr>
                <w:rFonts w:ascii="Times New Roman" w:hAnsi="Times New Roman" w:cs="Times New Roman"/>
                <w:sz w:val="24"/>
                <w:szCs w:val="24"/>
              </w:rPr>
              <w:t>V</w:t>
            </w:r>
            <w:r>
              <w:rPr>
                <w:rFonts w:ascii="Times New Roman" w:hAnsi="Times New Roman" w:cs="Times New Roman"/>
                <w:sz w:val="24"/>
                <w:szCs w:val="24"/>
              </w:rPr>
              <w:t xml:space="preserve"> : </w:t>
            </w:r>
            <w:r w:rsidRPr="003D0D1F">
              <w:rPr>
                <w:rFonts w:ascii="Times New Roman" w:hAnsi="Times New Roman" w:cs="Times New Roman"/>
                <w:sz w:val="24"/>
                <w:szCs w:val="24"/>
              </w:rPr>
              <w:t>Fe (atomic ratio)</w:t>
            </w:r>
          </w:p>
        </w:tc>
      </w:tr>
      <w:tr w:rsidR="008F254A" w:rsidRPr="003D0D1F" w:rsidTr="00DB1B75">
        <w:tc>
          <w:tcPr>
            <w:tcW w:w="1659" w:type="dxa"/>
            <w:tcBorders>
              <w:top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sidRPr="003D0D1F">
              <w:rPr>
                <w:rFonts w:ascii="Times New Roman" w:hAnsi="Times New Roman" w:cs="Times New Roman"/>
                <w:sz w:val="24"/>
                <w:szCs w:val="24"/>
              </w:rPr>
              <w:t>F</w:t>
            </w:r>
            <w:r>
              <w:rPr>
                <w:rFonts w:ascii="Times New Roman" w:hAnsi="Times New Roman" w:cs="Times New Roman"/>
                <w:sz w:val="24"/>
                <w:szCs w:val="24"/>
              </w:rPr>
              <w:t>e</w:t>
            </w:r>
            <w:r w:rsidRPr="003D0D1F">
              <w:rPr>
                <w:rFonts w:ascii="Times New Roman" w:hAnsi="Times New Roman" w:cs="Times New Roman"/>
                <w:sz w:val="24"/>
                <w:szCs w:val="24"/>
              </w:rPr>
              <w:t>VO NSs</w:t>
            </w:r>
          </w:p>
        </w:tc>
        <w:tc>
          <w:tcPr>
            <w:tcW w:w="1659" w:type="dxa"/>
            <w:tcBorders>
              <w:top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sidRPr="003D0D1F">
              <w:rPr>
                <w:rFonts w:ascii="Times New Roman" w:hAnsi="Times New Roman" w:cs="Times New Roman"/>
                <w:sz w:val="24"/>
                <w:szCs w:val="24"/>
              </w:rPr>
              <w:t>3</w:t>
            </w:r>
            <w:r>
              <w:rPr>
                <w:rFonts w:ascii="Times New Roman" w:hAnsi="Times New Roman" w:cs="Times New Roman"/>
                <w:sz w:val="24"/>
                <w:szCs w:val="24"/>
              </w:rPr>
              <w:t>5</w:t>
            </w:r>
            <w:r w:rsidRPr="003D0D1F">
              <w:rPr>
                <w:rFonts w:ascii="Times New Roman" w:hAnsi="Times New Roman" w:cs="Times New Roman"/>
                <w:sz w:val="24"/>
                <w:szCs w:val="24"/>
              </w:rPr>
              <w:t>.</w:t>
            </w:r>
            <w:r>
              <w:rPr>
                <w:rFonts w:ascii="Times New Roman" w:hAnsi="Times New Roman" w:cs="Times New Roman"/>
                <w:sz w:val="24"/>
                <w:szCs w:val="24"/>
              </w:rPr>
              <w:t>8</w:t>
            </w:r>
            <w:r w:rsidRPr="003D0D1F">
              <w:rPr>
                <w:rFonts w:ascii="Times New Roman" w:hAnsi="Times New Roman" w:cs="Times New Roman"/>
                <w:sz w:val="24"/>
                <w:szCs w:val="24"/>
              </w:rPr>
              <w:t>6</w:t>
            </w:r>
          </w:p>
        </w:tc>
        <w:tc>
          <w:tcPr>
            <w:tcW w:w="1659" w:type="dxa"/>
            <w:tcBorders>
              <w:top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sidRPr="003D0D1F">
              <w:rPr>
                <w:rFonts w:ascii="Times New Roman" w:hAnsi="Times New Roman" w:cs="Times New Roman"/>
                <w:sz w:val="24"/>
                <w:szCs w:val="24"/>
              </w:rPr>
              <w:t>13.05</w:t>
            </w:r>
          </w:p>
        </w:tc>
        <w:tc>
          <w:tcPr>
            <w:tcW w:w="2815" w:type="dxa"/>
            <w:tcBorders>
              <w:top w:val="single" w:sz="4" w:space="0" w:color="auto"/>
            </w:tcBorders>
          </w:tcPr>
          <w:p w:rsidR="008F254A" w:rsidRPr="003D0D1F" w:rsidRDefault="008F254A" w:rsidP="00DB1B75">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sz w:val="24"/>
                <w:szCs w:val="24"/>
              </w:rPr>
              <w:t>.013:1</w:t>
            </w:r>
          </w:p>
        </w:tc>
      </w:tr>
    </w:tbl>
    <w:p w:rsidR="008F254A" w:rsidRDefault="008F254A" w:rsidP="00950B7A">
      <w:pPr>
        <w:spacing w:line="360" w:lineRule="auto"/>
        <w:jc w:val="center"/>
        <w:rPr>
          <w:rFonts w:ascii="Times New Roman" w:hAnsi="Times New Roman" w:cs="Times New Roman"/>
          <w:sz w:val="24"/>
          <w:szCs w:val="24"/>
        </w:rPr>
      </w:pPr>
    </w:p>
    <w:p w:rsidR="008F254A" w:rsidRDefault="008F254A" w:rsidP="00950B7A">
      <w:pPr>
        <w:spacing w:line="360" w:lineRule="auto"/>
        <w:jc w:val="center"/>
        <w:rPr>
          <w:rFonts w:ascii="Times New Roman" w:hAnsi="Times New Roman" w:cs="Times New Roman"/>
          <w:sz w:val="24"/>
          <w:szCs w:val="24"/>
        </w:rPr>
      </w:pPr>
    </w:p>
    <w:p w:rsidR="008F254A" w:rsidRDefault="008F254A" w:rsidP="00950B7A">
      <w:pPr>
        <w:spacing w:line="360" w:lineRule="auto"/>
        <w:jc w:val="center"/>
        <w:rPr>
          <w:rFonts w:ascii="Times New Roman" w:hAnsi="Times New Roman" w:cs="Times New Roman"/>
          <w:sz w:val="24"/>
          <w:szCs w:val="24"/>
        </w:rPr>
      </w:pPr>
    </w:p>
    <w:p w:rsidR="008F254A" w:rsidRDefault="008F254A" w:rsidP="00950B7A">
      <w:pPr>
        <w:spacing w:line="360" w:lineRule="auto"/>
        <w:jc w:val="center"/>
        <w:rPr>
          <w:rFonts w:ascii="Times New Roman" w:hAnsi="Times New Roman" w:cs="Times New Roman"/>
          <w:sz w:val="24"/>
          <w:szCs w:val="24"/>
        </w:rPr>
      </w:pPr>
    </w:p>
    <w:p w:rsidR="009F61FE" w:rsidRPr="002C6B67" w:rsidRDefault="009F61FE" w:rsidP="00950B7A">
      <w:pPr>
        <w:spacing w:line="360" w:lineRule="auto"/>
        <w:jc w:val="center"/>
        <w:rPr>
          <w:rFonts w:ascii="Times New Roman" w:hAnsi="Times New Roman" w:cs="Times New Roman"/>
          <w:sz w:val="24"/>
          <w:szCs w:val="24"/>
        </w:rPr>
      </w:pPr>
      <w:r w:rsidRPr="002C6B67">
        <w:rPr>
          <w:rFonts w:ascii="Times New Roman" w:hAnsi="Times New Roman" w:cs="Times New Roman"/>
          <w:noProof/>
          <w:sz w:val="24"/>
          <w:szCs w:val="24"/>
        </w:rPr>
        <w:drawing>
          <wp:inline distT="0" distB="0" distL="0" distR="0" wp14:anchorId="3EFD6C6E" wp14:editId="1B359699">
            <wp:extent cx="4320000" cy="2160000"/>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pic:spPr>
                </pic:pic>
              </a:graphicData>
            </a:graphic>
          </wp:inline>
        </w:drawing>
      </w:r>
    </w:p>
    <w:p w:rsidR="009F61FE" w:rsidRPr="002C6B67" w:rsidRDefault="009F61FE" w:rsidP="00950B7A">
      <w:pPr>
        <w:spacing w:line="360" w:lineRule="auto"/>
        <w:rPr>
          <w:rFonts w:ascii="Times New Roman" w:hAnsi="Times New Roman" w:cs="Times New Roman"/>
          <w:sz w:val="24"/>
          <w:szCs w:val="24"/>
        </w:rPr>
      </w:pPr>
      <w:r w:rsidRPr="002C6B67">
        <w:rPr>
          <w:rFonts w:ascii="Times New Roman" w:hAnsi="Times New Roman" w:cs="Times New Roman"/>
          <w:b/>
          <w:sz w:val="24"/>
          <w:szCs w:val="24"/>
        </w:rPr>
        <w:t>Figure S3.</w:t>
      </w:r>
      <w:r w:rsidRPr="002C6B67">
        <w:rPr>
          <w:rFonts w:ascii="Times New Roman" w:hAnsi="Times New Roman" w:cs="Times New Roman"/>
          <w:sz w:val="24"/>
          <w:szCs w:val="24"/>
        </w:rPr>
        <w:t xml:space="preserve"> (a) TEM image of layered NSs. (b) HRTEM image of NS from the marked area in (a), showing the inner-layer information with the lattice spacing of 3.56 and 2.71 Å corresponds to (204) and (-115) planes, respectively.</w:t>
      </w:r>
    </w:p>
    <w:p w:rsidR="0006647B" w:rsidRPr="002C6B67" w:rsidRDefault="0006647B" w:rsidP="00950B7A">
      <w:pPr>
        <w:spacing w:line="360" w:lineRule="auto"/>
        <w:rPr>
          <w:rFonts w:ascii="Times New Roman" w:hAnsi="Times New Roman" w:cs="Times New Roman"/>
          <w:sz w:val="24"/>
          <w:szCs w:val="24"/>
        </w:rPr>
      </w:pPr>
    </w:p>
    <w:p w:rsidR="00F52AB7" w:rsidRPr="002C6B67" w:rsidRDefault="00981947" w:rsidP="00950B7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9109D0">
            <wp:extent cx="3600000" cy="270486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704861"/>
                    </a:xfrm>
                    <a:prstGeom prst="rect">
                      <a:avLst/>
                    </a:prstGeom>
                    <a:noFill/>
                  </pic:spPr>
                </pic:pic>
              </a:graphicData>
            </a:graphic>
          </wp:inline>
        </w:drawing>
      </w:r>
    </w:p>
    <w:p w:rsidR="00F52AB7" w:rsidRPr="002C6B67" w:rsidRDefault="00F52AB7" w:rsidP="00950B7A">
      <w:pPr>
        <w:spacing w:line="360" w:lineRule="auto"/>
        <w:rPr>
          <w:rFonts w:ascii="Times New Roman" w:hAnsi="Times New Roman" w:cs="Times New Roman"/>
          <w:sz w:val="24"/>
          <w:szCs w:val="24"/>
        </w:rPr>
      </w:pPr>
      <w:r w:rsidRPr="002C6B67">
        <w:rPr>
          <w:rFonts w:ascii="Times New Roman" w:hAnsi="Times New Roman" w:cs="Times New Roman"/>
          <w:b/>
          <w:sz w:val="24"/>
          <w:szCs w:val="24"/>
        </w:rPr>
        <w:t>Figure S4.</w:t>
      </w:r>
      <w:r w:rsidR="002A3641" w:rsidRPr="002C6B67">
        <w:rPr>
          <w:rFonts w:ascii="Times New Roman" w:hAnsi="Times New Roman" w:cs="Times New Roman"/>
          <w:sz w:val="24"/>
          <w:szCs w:val="24"/>
        </w:rPr>
        <w:t xml:space="preserve"> TG </w:t>
      </w:r>
      <w:r w:rsidR="00981947">
        <w:rPr>
          <w:rFonts w:ascii="Times New Roman" w:hAnsi="Times New Roman" w:cs="Times New Roman"/>
          <w:sz w:val="24"/>
          <w:szCs w:val="24"/>
        </w:rPr>
        <w:t>and DSC curves</w:t>
      </w:r>
      <w:r w:rsidRPr="002C6B67">
        <w:rPr>
          <w:rFonts w:ascii="Times New Roman" w:hAnsi="Times New Roman" w:cs="Times New Roman"/>
          <w:sz w:val="24"/>
          <w:szCs w:val="24"/>
        </w:rPr>
        <w:t xml:space="preserve"> of the</w:t>
      </w:r>
      <w:r w:rsidR="002A3641" w:rsidRPr="002C6B67">
        <w:rPr>
          <w:rFonts w:ascii="Times New Roman" w:hAnsi="Times New Roman" w:cs="Times New Roman"/>
          <w:sz w:val="24"/>
          <w:szCs w:val="24"/>
        </w:rPr>
        <w:t xml:space="preserve"> </w:t>
      </w:r>
      <w:r w:rsidRPr="002C6B67">
        <w:rPr>
          <w:rFonts w:ascii="Times New Roman" w:hAnsi="Times New Roman" w:cs="Times New Roman"/>
          <w:sz w:val="24"/>
          <w:szCs w:val="24"/>
        </w:rPr>
        <w:t xml:space="preserve">layered FeVO NSs. The multi-step mass losses indicate different </w:t>
      </w:r>
      <w:r w:rsidR="00981947">
        <w:rPr>
          <w:rFonts w:ascii="Times New Roman" w:hAnsi="Times New Roman" w:cs="Times New Roman"/>
          <w:sz w:val="24"/>
          <w:szCs w:val="24"/>
        </w:rPr>
        <w:t xml:space="preserve">type of </w:t>
      </w:r>
      <w:r w:rsidRPr="002C6B67">
        <w:rPr>
          <w:rFonts w:ascii="Times New Roman" w:hAnsi="Times New Roman" w:cs="Times New Roman"/>
          <w:sz w:val="24"/>
          <w:szCs w:val="24"/>
        </w:rPr>
        <w:t>wate</w:t>
      </w:r>
      <w:r w:rsidR="00981947">
        <w:rPr>
          <w:rFonts w:ascii="Times New Roman" w:hAnsi="Times New Roman" w:cs="Times New Roman"/>
          <w:sz w:val="24"/>
          <w:szCs w:val="24"/>
        </w:rPr>
        <w:t>r in the materials.</w:t>
      </w:r>
    </w:p>
    <w:p w:rsidR="009F61FE" w:rsidRPr="002C6B67" w:rsidRDefault="00DC02C4" w:rsidP="00950B7A">
      <w:pPr>
        <w:spacing w:line="360" w:lineRule="auto"/>
        <w:jc w:val="center"/>
        <w:rPr>
          <w:rFonts w:ascii="Times New Roman" w:hAnsi="Times New Roman" w:cs="Times New Roman"/>
          <w:sz w:val="24"/>
          <w:szCs w:val="24"/>
        </w:rPr>
      </w:pPr>
      <w:r w:rsidRPr="002C6B67">
        <w:rPr>
          <w:rFonts w:ascii="Times New Roman" w:hAnsi="Times New Roman" w:cs="Times New Roman"/>
          <w:noProof/>
          <w:sz w:val="24"/>
          <w:szCs w:val="24"/>
        </w:rPr>
        <w:lastRenderedPageBreak/>
        <w:drawing>
          <wp:inline distT="0" distB="0" distL="0" distR="0" wp14:anchorId="09886D16">
            <wp:extent cx="2880000" cy="2391222"/>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8623" t="4300" r="8623" b="4300"/>
                    <a:stretch/>
                  </pic:blipFill>
                  <pic:spPr bwMode="auto">
                    <a:xfrm>
                      <a:off x="0" y="0"/>
                      <a:ext cx="2880000" cy="2391222"/>
                    </a:xfrm>
                    <a:prstGeom prst="rect">
                      <a:avLst/>
                    </a:prstGeom>
                    <a:noFill/>
                    <a:ln>
                      <a:noFill/>
                    </a:ln>
                    <a:extLst>
                      <a:ext uri="{53640926-AAD7-44D8-BBD7-CCE9431645EC}">
                        <a14:shadowObscured xmlns:a14="http://schemas.microsoft.com/office/drawing/2010/main"/>
                      </a:ext>
                    </a:extLst>
                  </pic:spPr>
                </pic:pic>
              </a:graphicData>
            </a:graphic>
          </wp:inline>
        </w:drawing>
      </w:r>
    </w:p>
    <w:p w:rsidR="009F61FE" w:rsidRPr="002C6B67" w:rsidRDefault="009F61FE" w:rsidP="00950B7A">
      <w:pPr>
        <w:spacing w:line="360" w:lineRule="auto"/>
        <w:rPr>
          <w:rFonts w:ascii="Times New Roman" w:hAnsi="Times New Roman" w:cs="Times New Roman"/>
          <w:sz w:val="24"/>
          <w:szCs w:val="24"/>
        </w:rPr>
      </w:pPr>
      <w:bookmarkStart w:id="7" w:name="OLE_LINK8"/>
      <w:r w:rsidRPr="002C6B67">
        <w:rPr>
          <w:rFonts w:ascii="Times New Roman" w:hAnsi="Times New Roman" w:cs="Times New Roman"/>
          <w:b/>
          <w:sz w:val="24"/>
          <w:szCs w:val="24"/>
        </w:rPr>
        <w:t>Figure S5.</w:t>
      </w:r>
      <w:r w:rsidRPr="002C6B67">
        <w:rPr>
          <w:rFonts w:ascii="Times New Roman" w:hAnsi="Times New Roman" w:cs="Times New Roman"/>
          <w:sz w:val="24"/>
          <w:szCs w:val="24"/>
        </w:rPr>
        <w:t xml:space="preserve"> The XRD patterns of layered </w:t>
      </w:r>
      <w:r w:rsidR="00D447E9" w:rsidRPr="002C6B67">
        <w:rPr>
          <w:rFonts w:ascii="Times New Roman" w:hAnsi="Times New Roman" w:cs="Times New Roman"/>
          <w:sz w:val="24"/>
          <w:szCs w:val="24"/>
        </w:rPr>
        <w:t xml:space="preserve">FeVO </w:t>
      </w:r>
      <w:r w:rsidRPr="002C6B67">
        <w:rPr>
          <w:rFonts w:ascii="Times New Roman" w:hAnsi="Times New Roman" w:cs="Times New Roman"/>
          <w:sz w:val="24"/>
          <w:szCs w:val="24"/>
        </w:rPr>
        <w:t xml:space="preserve">NSs </w:t>
      </w:r>
      <w:r w:rsidR="00C876A8" w:rsidRPr="002C6B67">
        <w:rPr>
          <w:rFonts w:ascii="Times New Roman" w:hAnsi="Times New Roman" w:cs="Times New Roman"/>
          <w:sz w:val="24"/>
          <w:szCs w:val="24"/>
        </w:rPr>
        <w:t>cathode</w:t>
      </w:r>
      <w:r w:rsidRPr="002C6B67">
        <w:rPr>
          <w:rFonts w:ascii="Times New Roman" w:hAnsi="Times New Roman" w:cs="Times New Roman"/>
          <w:sz w:val="24"/>
          <w:szCs w:val="24"/>
        </w:rPr>
        <w:t xml:space="preserve"> (mixed with Ketjen black and binder and then coated on C@Al foil) after drying at 120 °C</w:t>
      </w:r>
      <w:r w:rsidR="00BC37FD" w:rsidRPr="002C6B67">
        <w:rPr>
          <w:rFonts w:ascii="Times New Roman" w:hAnsi="Times New Roman" w:cs="Times New Roman"/>
          <w:sz w:val="24"/>
          <w:szCs w:val="24"/>
        </w:rPr>
        <w:t xml:space="preserve"> in vacuum</w:t>
      </w:r>
      <w:r w:rsidRPr="002C6B67">
        <w:rPr>
          <w:rFonts w:ascii="Times New Roman" w:hAnsi="Times New Roman" w:cs="Times New Roman"/>
          <w:sz w:val="24"/>
          <w:szCs w:val="24"/>
        </w:rPr>
        <w:t>. The layer spacing</w:t>
      </w:r>
      <w:r w:rsidR="00BC37FD" w:rsidRPr="002C6B67">
        <w:rPr>
          <w:rFonts w:ascii="Times New Roman" w:hAnsi="Times New Roman" w:cs="Times New Roman"/>
          <w:sz w:val="24"/>
          <w:szCs w:val="24"/>
        </w:rPr>
        <w:t xml:space="preserve"> of FeVO</w:t>
      </w:r>
      <w:r w:rsidRPr="002C6B67">
        <w:rPr>
          <w:rFonts w:ascii="Times New Roman" w:hAnsi="Times New Roman" w:cs="Times New Roman"/>
          <w:sz w:val="24"/>
          <w:szCs w:val="24"/>
        </w:rPr>
        <w:t xml:space="preserve"> </w:t>
      </w:r>
      <w:r w:rsidR="00145B99" w:rsidRPr="002C6B67">
        <w:rPr>
          <w:rFonts w:ascii="Times New Roman" w:hAnsi="Times New Roman" w:cs="Times New Roman"/>
          <w:sz w:val="24"/>
          <w:szCs w:val="24"/>
        </w:rPr>
        <w:t xml:space="preserve">NSs </w:t>
      </w:r>
      <w:r w:rsidRPr="002C6B67">
        <w:rPr>
          <w:rFonts w:ascii="Times New Roman" w:hAnsi="Times New Roman" w:cs="Times New Roman"/>
          <w:sz w:val="24"/>
          <w:szCs w:val="24"/>
        </w:rPr>
        <w:t xml:space="preserve">does not change during the electrode preparation processes. </w:t>
      </w:r>
    </w:p>
    <w:p w:rsidR="001E0EBB" w:rsidRDefault="001E0EBB" w:rsidP="00950B7A">
      <w:pPr>
        <w:spacing w:line="360" w:lineRule="auto"/>
        <w:rPr>
          <w:rFonts w:ascii="Times New Roman" w:hAnsi="Times New Roman" w:cs="Times New Roman"/>
          <w:sz w:val="24"/>
          <w:szCs w:val="24"/>
        </w:rPr>
      </w:pPr>
    </w:p>
    <w:p w:rsidR="002C6B67" w:rsidRPr="002C6B67" w:rsidRDefault="002C6B67" w:rsidP="00950B7A">
      <w:pPr>
        <w:spacing w:line="360" w:lineRule="auto"/>
        <w:rPr>
          <w:rFonts w:ascii="Times New Roman" w:hAnsi="Times New Roman" w:cs="Times New Roman"/>
          <w:sz w:val="24"/>
          <w:szCs w:val="24"/>
        </w:rPr>
      </w:pPr>
    </w:p>
    <w:p w:rsidR="00AB1C6C" w:rsidRPr="002C6B67" w:rsidRDefault="00AB1C6C" w:rsidP="00950B7A">
      <w:pPr>
        <w:spacing w:line="360" w:lineRule="auto"/>
        <w:jc w:val="center"/>
        <w:rPr>
          <w:rFonts w:ascii="Times New Roman" w:hAnsi="Times New Roman" w:cs="Times New Roman"/>
          <w:sz w:val="24"/>
          <w:szCs w:val="24"/>
        </w:rPr>
      </w:pPr>
      <w:r w:rsidRPr="002C6B67">
        <w:rPr>
          <w:rFonts w:ascii="Times New Roman" w:hAnsi="Times New Roman" w:cs="Times New Roman"/>
          <w:noProof/>
          <w:sz w:val="24"/>
          <w:szCs w:val="24"/>
        </w:rPr>
        <w:drawing>
          <wp:inline distT="0" distB="0" distL="0" distR="0" wp14:anchorId="18CAF981">
            <wp:extent cx="3240000" cy="260284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l="5994" t="8912" r="9740" b="1036"/>
                    <a:stretch/>
                  </pic:blipFill>
                  <pic:spPr bwMode="auto">
                    <a:xfrm>
                      <a:off x="0" y="0"/>
                      <a:ext cx="3240000" cy="2602845"/>
                    </a:xfrm>
                    <a:prstGeom prst="rect">
                      <a:avLst/>
                    </a:prstGeom>
                    <a:noFill/>
                    <a:ln>
                      <a:noFill/>
                    </a:ln>
                    <a:extLst>
                      <a:ext uri="{53640926-AAD7-44D8-BBD7-CCE9431645EC}">
                        <a14:shadowObscured xmlns:a14="http://schemas.microsoft.com/office/drawing/2010/main"/>
                      </a:ext>
                    </a:extLst>
                  </pic:spPr>
                </pic:pic>
              </a:graphicData>
            </a:graphic>
          </wp:inline>
        </w:drawing>
      </w:r>
    </w:p>
    <w:p w:rsidR="00AB1C6C" w:rsidRPr="002C6B67" w:rsidRDefault="00F53447" w:rsidP="00950B7A">
      <w:pPr>
        <w:spacing w:line="360" w:lineRule="auto"/>
        <w:rPr>
          <w:rFonts w:ascii="Times New Roman" w:hAnsi="Times New Roman" w:cs="Times New Roman"/>
          <w:sz w:val="24"/>
          <w:szCs w:val="24"/>
        </w:rPr>
      </w:pPr>
      <w:r w:rsidRPr="002C6B67">
        <w:rPr>
          <w:rFonts w:ascii="Times New Roman" w:hAnsi="Times New Roman" w:cs="Times New Roman"/>
          <w:b/>
          <w:sz w:val="24"/>
          <w:szCs w:val="24"/>
        </w:rPr>
        <w:t>Figure S6.</w:t>
      </w:r>
      <w:r w:rsidRPr="002C6B67">
        <w:rPr>
          <w:rFonts w:ascii="Times New Roman" w:hAnsi="Times New Roman" w:cs="Times New Roman"/>
          <w:sz w:val="24"/>
          <w:szCs w:val="24"/>
        </w:rPr>
        <w:t xml:space="preserve"> CV curves of layered NSs tested in Li</w:t>
      </w:r>
      <w:r w:rsidRPr="002C6B67">
        <w:rPr>
          <w:rFonts w:ascii="Times New Roman" w:hAnsi="Times New Roman" w:cs="Times New Roman"/>
          <w:sz w:val="24"/>
          <w:szCs w:val="24"/>
          <w:vertAlign w:val="superscript"/>
        </w:rPr>
        <w:t>+</w:t>
      </w:r>
      <w:r w:rsidRPr="002C6B67">
        <w:rPr>
          <w:rFonts w:ascii="Times New Roman" w:hAnsi="Times New Roman" w:cs="Times New Roman"/>
          <w:sz w:val="24"/>
          <w:szCs w:val="24"/>
        </w:rPr>
        <w:t xml:space="preserve"> and TBA</w:t>
      </w:r>
      <w:r w:rsidRPr="002C6B67">
        <w:rPr>
          <w:rFonts w:ascii="Times New Roman" w:hAnsi="Times New Roman" w:cs="Times New Roman"/>
          <w:sz w:val="24"/>
          <w:szCs w:val="24"/>
          <w:vertAlign w:val="superscript"/>
        </w:rPr>
        <w:t>+</w:t>
      </w:r>
      <w:r w:rsidRPr="002C6B67">
        <w:rPr>
          <w:rFonts w:ascii="Times New Roman" w:hAnsi="Times New Roman" w:cs="Times New Roman"/>
          <w:sz w:val="24"/>
          <w:szCs w:val="24"/>
        </w:rPr>
        <w:t xml:space="preserve"> based electrolyte at a scan rate of 1.0 mV s</w:t>
      </w:r>
      <w:r w:rsidRPr="002C6B67">
        <w:rPr>
          <w:rFonts w:ascii="Times New Roman" w:hAnsi="Times New Roman" w:cs="Times New Roman"/>
          <w:sz w:val="24"/>
          <w:szCs w:val="24"/>
          <w:vertAlign w:val="superscript"/>
        </w:rPr>
        <w:t>-1</w:t>
      </w:r>
      <w:r w:rsidRPr="002C6B67">
        <w:rPr>
          <w:rFonts w:ascii="Times New Roman" w:hAnsi="Times New Roman" w:cs="Times New Roman"/>
          <w:sz w:val="24"/>
          <w:szCs w:val="24"/>
        </w:rPr>
        <w:t>.</w:t>
      </w:r>
    </w:p>
    <w:p w:rsidR="00835F32" w:rsidRPr="002C6B67" w:rsidRDefault="00835F32" w:rsidP="00950B7A">
      <w:pPr>
        <w:spacing w:line="360" w:lineRule="auto"/>
        <w:rPr>
          <w:rFonts w:ascii="Times New Roman" w:hAnsi="Times New Roman" w:cs="Times New Roman"/>
          <w:sz w:val="24"/>
          <w:szCs w:val="24"/>
        </w:rPr>
      </w:pPr>
    </w:p>
    <w:p w:rsidR="00666BA4" w:rsidRDefault="00666BA4" w:rsidP="00950B7A">
      <w:pPr>
        <w:spacing w:line="360" w:lineRule="auto"/>
        <w:rPr>
          <w:rFonts w:ascii="Times New Roman" w:hAnsi="Times New Roman" w:cs="Times New Roman"/>
          <w:sz w:val="24"/>
          <w:szCs w:val="24"/>
        </w:rPr>
      </w:pPr>
    </w:p>
    <w:p w:rsidR="00666BA4" w:rsidRPr="005A06BF" w:rsidRDefault="00666BA4">
      <w:pPr>
        <w:widowControl/>
        <w:jc w:val="left"/>
        <w:rPr>
          <w:rFonts w:ascii="Times New Roman" w:hAnsi="Times New Roman" w:cs="Times New Roman"/>
          <w:sz w:val="24"/>
          <w:szCs w:val="24"/>
        </w:rPr>
      </w:pPr>
      <w:r w:rsidRPr="005A06BF">
        <w:rPr>
          <w:rFonts w:ascii="Times New Roman" w:hAnsi="Times New Roman" w:cs="Times New Roman"/>
          <w:sz w:val="24"/>
          <w:szCs w:val="24"/>
        </w:rPr>
        <w:br w:type="page"/>
      </w:r>
    </w:p>
    <w:p w:rsidR="00CF298F" w:rsidRPr="005A06BF" w:rsidRDefault="00CF298F" w:rsidP="00CF298F">
      <w:pPr>
        <w:spacing w:line="360" w:lineRule="auto"/>
        <w:jc w:val="center"/>
        <w:rPr>
          <w:rFonts w:ascii="Times New Roman" w:hAnsi="Times New Roman"/>
          <w:sz w:val="24"/>
          <w:szCs w:val="24"/>
        </w:rPr>
      </w:pPr>
      <w:r w:rsidRPr="005A06BF">
        <w:rPr>
          <w:rFonts w:ascii="Times New Roman" w:hAnsi="Times New Roman"/>
          <w:noProof/>
          <w:sz w:val="24"/>
          <w:szCs w:val="24"/>
        </w:rPr>
        <w:lastRenderedPageBreak/>
        <w:drawing>
          <wp:inline distT="0" distB="0" distL="0" distR="0" wp14:anchorId="3F6A6FA4" wp14:editId="7149B0FB">
            <wp:extent cx="5400000" cy="3269176"/>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269176"/>
                    </a:xfrm>
                    <a:prstGeom prst="rect">
                      <a:avLst/>
                    </a:prstGeom>
                    <a:noFill/>
                  </pic:spPr>
                </pic:pic>
              </a:graphicData>
            </a:graphic>
          </wp:inline>
        </w:drawing>
      </w:r>
    </w:p>
    <w:p w:rsidR="00CF298F" w:rsidRPr="005A06BF" w:rsidRDefault="00CF298F" w:rsidP="00CF298F">
      <w:pPr>
        <w:spacing w:line="360" w:lineRule="auto"/>
        <w:rPr>
          <w:rFonts w:ascii="Times New Roman" w:hAnsi="Times New Roman" w:cs="Times New Roman"/>
          <w:sz w:val="24"/>
          <w:szCs w:val="24"/>
        </w:rPr>
      </w:pPr>
      <w:r w:rsidRPr="00EA63C1">
        <w:rPr>
          <w:rFonts w:ascii="Times New Roman" w:hAnsi="Times New Roman" w:cs="Times New Roman" w:hint="eastAsia"/>
          <w:b/>
          <w:sz w:val="24"/>
          <w:szCs w:val="24"/>
        </w:rPr>
        <w:t>F</w:t>
      </w:r>
      <w:r w:rsidRPr="00EA63C1">
        <w:rPr>
          <w:rFonts w:ascii="Times New Roman" w:hAnsi="Times New Roman" w:cs="Times New Roman"/>
          <w:b/>
          <w:sz w:val="24"/>
          <w:szCs w:val="24"/>
        </w:rPr>
        <w:t>igure S7</w:t>
      </w:r>
      <w:r w:rsidRPr="005A06BF">
        <w:rPr>
          <w:rFonts w:ascii="Times New Roman" w:hAnsi="Times New Roman" w:cs="Times New Roman"/>
          <w:sz w:val="24"/>
          <w:szCs w:val="24"/>
        </w:rPr>
        <w:t xml:space="preserve">. V 2p XPS spectra (a), Fe 2p XPS spectra (b), and </w:t>
      </w:r>
      <w:r w:rsidRPr="005A06BF">
        <w:rPr>
          <w:rFonts w:ascii="Times New Roman" w:hAnsi="Times New Roman" w:cs="Times New Roman"/>
          <w:sz w:val="24"/>
          <w:szCs w:val="24"/>
          <w:vertAlign w:val="superscript"/>
        </w:rPr>
        <w:t>57</w:t>
      </w:r>
      <w:r w:rsidRPr="005A06BF">
        <w:rPr>
          <w:rFonts w:ascii="Times New Roman" w:hAnsi="Times New Roman" w:cs="Times New Roman"/>
          <w:sz w:val="24"/>
          <w:szCs w:val="24"/>
        </w:rPr>
        <w:t>Fe Mössbauer spectra (c) of pristine, fully discharged state and charged state of FeVO NSs. [ref. S1-3]</w:t>
      </w:r>
    </w:p>
    <w:p w:rsidR="00CF298F" w:rsidRPr="005A06BF" w:rsidRDefault="00CF298F" w:rsidP="00CF298F">
      <w:pPr>
        <w:spacing w:line="360" w:lineRule="auto"/>
        <w:rPr>
          <w:rFonts w:ascii="Times New Roman" w:hAnsi="Times New Roman" w:cs="Times New Roman"/>
          <w:sz w:val="24"/>
          <w:szCs w:val="24"/>
        </w:rPr>
      </w:pPr>
    </w:p>
    <w:p w:rsidR="00CF298F" w:rsidRPr="005A06BF" w:rsidRDefault="00CF298F" w:rsidP="00CF298F">
      <w:pPr>
        <w:spacing w:line="360" w:lineRule="auto"/>
        <w:rPr>
          <w:rFonts w:ascii="Times New Roman" w:hAnsi="Times New Roman" w:cs="Times New Roman"/>
          <w:sz w:val="24"/>
          <w:szCs w:val="24"/>
        </w:rPr>
      </w:pPr>
      <w:bookmarkStart w:id="8" w:name="OLE_LINK125"/>
      <w:r w:rsidRPr="005A06BF">
        <w:rPr>
          <w:rFonts w:ascii="Times New Roman" w:hAnsi="Times New Roman" w:cs="Times New Roman"/>
          <w:b/>
          <w:sz w:val="24"/>
          <w:szCs w:val="24"/>
        </w:rPr>
        <w:t xml:space="preserve">Table S2. </w:t>
      </w:r>
      <w:r w:rsidRPr="005A06BF">
        <w:rPr>
          <w:rFonts w:ascii="Times New Roman" w:hAnsi="Times New Roman" w:cs="Times New Roman"/>
          <w:sz w:val="24"/>
          <w:szCs w:val="24"/>
        </w:rPr>
        <w:t xml:space="preserve">The detailed analyses of the XPS results. Peak fit is carried out as the same condition. </w:t>
      </w:r>
    </w:p>
    <w:tbl>
      <w:tblPr>
        <w:tblStyle w:val="a9"/>
        <w:tblW w:w="92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4"/>
        <w:gridCol w:w="996"/>
        <w:gridCol w:w="850"/>
        <w:gridCol w:w="850"/>
        <w:gridCol w:w="850"/>
        <w:gridCol w:w="850"/>
        <w:gridCol w:w="850"/>
        <w:gridCol w:w="850"/>
        <w:gridCol w:w="850"/>
        <w:gridCol w:w="850"/>
      </w:tblGrid>
      <w:tr w:rsidR="005A06BF" w:rsidRPr="005A06BF" w:rsidTr="00DB1B75">
        <w:trPr>
          <w:trHeight w:val="380"/>
        </w:trPr>
        <w:tc>
          <w:tcPr>
            <w:tcW w:w="1414" w:type="dxa"/>
            <w:vMerge w:val="restart"/>
            <w:tcBorders>
              <w:top w:val="single" w:sz="8" w:space="0" w:color="auto"/>
            </w:tcBorders>
            <w:noWrap/>
            <w:vAlign w:val="center"/>
          </w:tcPr>
          <w:bookmarkEnd w:id="8"/>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FeVO NSs</w:t>
            </w:r>
          </w:p>
        </w:tc>
        <w:tc>
          <w:tcPr>
            <w:tcW w:w="996" w:type="dxa"/>
            <w:vMerge w:val="restart"/>
            <w:tcBorders>
              <w:top w:val="single" w:sz="8"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p>
        </w:tc>
        <w:tc>
          <w:tcPr>
            <w:tcW w:w="850" w:type="dxa"/>
            <w:tcBorders>
              <w:top w:val="single" w:sz="8" w:space="0" w:color="auto"/>
              <w:bottom w:val="single" w:sz="4"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V 2p</w:t>
            </w:r>
            <w:r w:rsidRPr="005A06BF">
              <w:rPr>
                <w:rFonts w:ascii="Times New Roman" w:hAnsi="Times New Roman" w:cs="Times New Roman"/>
                <w:sz w:val="18"/>
                <w:szCs w:val="18"/>
                <w:vertAlign w:val="subscript"/>
              </w:rPr>
              <w:t>3/2</w:t>
            </w:r>
            <w:r w:rsidRPr="005A06BF">
              <w:rPr>
                <w:rFonts w:ascii="Times New Roman" w:hAnsi="Times New Roman" w:cs="Times New Roman"/>
                <w:sz w:val="18"/>
                <w:szCs w:val="18"/>
                <w:vertAlign w:val="superscript"/>
              </w:rPr>
              <w:t xml:space="preserve"> </w:t>
            </w:r>
            <w:r w:rsidRPr="005A06BF">
              <w:rPr>
                <w:rFonts w:ascii="Times New Roman" w:hAnsi="Times New Roman" w:cs="Times New Roman"/>
                <w:sz w:val="18"/>
                <w:szCs w:val="18"/>
              </w:rPr>
              <w:t>(3+)</w:t>
            </w:r>
          </w:p>
        </w:tc>
        <w:tc>
          <w:tcPr>
            <w:tcW w:w="850" w:type="dxa"/>
            <w:tcBorders>
              <w:top w:val="single" w:sz="8" w:space="0" w:color="auto"/>
              <w:bottom w:val="single" w:sz="4"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V 2p</w:t>
            </w:r>
            <w:r w:rsidRPr="005A06BF">
              <w:rPr>
                <w:rFonts w:ascii="Times New Roman" w:hAnsi="Times New Roman" w:cs="Times New Roman"/>
                <w:sz w:val="18"/>
                <w:szCs w:val="18"/>
                <w:vertAlign w:val="subscript"/>
              </w:rPr>
              <w:t>3/2</w:t>
            </w:r>
            <w:r w:rsidRPr="005A06BF">
              <w:rPr>
                <w:rFonts w:ascii="Times New Roman" w:hAnsi="Times New Roman" w:cs="Times New Roman"/>
                <w:sz w:val="18"/>
                <w:szCs w:val="18"/>
                <w:vertAlign w:val="superscript"/>
              </w:rPr>
              <w:t xml:space="preserve"> </w:t>
            </w:r>
            <w:r w:rsidRPr="005A06BF">
              <w:rPr>
                <w:rFonts w:ascii="Times New Roman" w:hAnsi="Times New Roman" w:cs="Times New Roman"/>
                <w:sz w:val="18"/>
                <w:szCs w:val="18"/>
              </w:rPr>
              <w:t>(4+)</w:t>
            </w:r>
          </w:p>
        </w:tc>
        <w:tc>
          <w:tcPr>
            <w:tcW w:w="850" w:type="dxa"/>
            <w:tcBorders>
              <w:top w:val="single" w:sz="8" w:space="0" w:color="auto"/>
              <w:bottom w:val="single" w:sz="4"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V 2p</w:t>
            </w:r>
            <w:r w:rsidRPr="005A06BF">
              <w:rPr>
                <w:rFonts w:ascii="Times New Roman" w:hAnsi="Times New Roman" w:cs="Times New Roman"/>
                <w:sz w:val="18"/>
                <w:szCs w:val="18"/>
                <w:vertAlign w:val="subscript"/>
              </w:rPr>
              <w:t>3/2</w:t>
            </w:r>
            <w:r w:rsidRPr="005A06BF">
              <w:rPr>
                <w:rFonts w:ascii="Times New Roman" w:hAnsi="Times New Roman" w:cs="Times New Roman"/>
                <w:sz w:val="18"/>
                <w:szCs w:val="18"/>
                <w:vertAlign w:val="superscript"/>
              </w:rPr>
              <w:t xml:space="preserve"> </w:t>
            </w:r>
            <w:r w:rsidRPr="005A06BF">
              <w:rPr>
                <w:rFonts w:ascii="Times New Roman" w:hAnsi="Times New Roman" w:cs="Times New Roman"/>
                <w:sz w:val="18"/>
                <w:szCs w:val="18"/>
              </w:rPr>
              <w:t>(5+)</w:t>
            </w:r>
          </w:p>
        </w:tc>
        <w:tc>
          <w:tcPr>
            <w:tcW w:w="850" w:type="dxa"/>
            <w:tcBorders>
              <w:top w:val="single" w:sz="8" w:space="0" w:color="auto"/>
              <w:bottom w:val="single" w:sz="4"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Fe</w:t>
            </w:r>
            <w:r w:rsidRPr="005A06BF">
              <w:rPr>
                <w:rFonts w:ascii="Times New Roman" w:hAnsi="Times New Roman" w:cs="Times New Roman"/>
                <w:sz w:val="18"/>
                <w:szCs w:val="18"/>
                <w:vertAlign w:val="superscript"/>
              </w:rPr>
              <w:t>3+</w:t>
            </w:r>
          </w:p>
        </w:tc>
        <w:tc>
          <w:tcPr>
            <w:tcW w:w="850" w:type="dxa"/>
            <w:tcBorders>
              <w:top w:val="single" w:sz="8" w:space="0" w:color="auto"/>
              <w:bottom w:val="single" w:sz="4"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Fe</w:t>
            </w:r>
            <w:r w:rsidRPr="005A06BF">
              <w:rPr>
                <w:rFonts w:ascii="Times New Roman" w:hAnsi="Times New Roman" w:cs="Times New Roman"/>
                <w:sz w:val="18"/>
                <w:szCs w:val="18"/>
                <w:vertAlign w:val="superscript"/>
              </w:rPr>
              <w:t>3+</w:t>
            </w:r>
          </w:p>
        </w:tc>
        <w:tc>
          <w:tcPr>
            <w:tcW w:w="850" w:type="dxa"/>
            <w:tcBorders>
              <w:top w:val="single" w:sz="8" w:space="0" w:color="auto"/>
              <w:bottom w:val="single" w:sz="4"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Fe</w:t>
            </w:r>
            <w:r w:rsidRPr="005A06BF">
              <w:rPr>
                <w:rFonts w:ascii="Times New Roman" w:hAnsi="Times New Roman" w:cs="Times New Roman"/>
                <w:sz w:val="18"/>
                <w:szCs w:val="18"/>
                <w:vertAlign w:val="superscript"/>
              </w:rPr>
              <w:t>3+</w:t>
            </w:r>
            <w:r w:rsidRPr="005A06BF">
              <w:rPr>
                <w:rFonts w:ascii="Times New Roman" w:hAnsi="Times New Roman" w:cs="Times New Roman"/>
                <w:sz w:val="18"/>
                <w:szCs w:val="18"/>
              </w:rPr>
              <w:t xml:space="preserve"> (sat)</w:t>
            </w:r>
          </w:p>
        </w:tc>
        <w:tc>
          <w:tcPr>
            <w:tcW w:w="850" w:type="dxa"/>
            <w:tcBorders>
              <w:top w:val="single" w:sz="8" w:space="0" w:color="auto"/>
              <w:bottom w:val="single" w:sz="4"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Fe</w:t>
            </w:r>
            <w:r w:rsidRPr="005A06BF">
              <w:rPr>
                <w:rFonts w:ascii="Times New Roman" w:hAnsi="Times New Roman" w:cs="Times New Roman"/>
                <w:sz w:val="18"/>
                <w:szCs w:val="18"/>
                <w:vertAlign w:val="superscript"/>
              </w:rPr>
              <w:t>2+</w:t>
            </w:r>
          </w:p>
        </w:tc>
        <w:tc>
          <w:tcPr>
            <w:tcW w:w="850" w:type="dxa"/>
            <w:tcBorders>
              <w:top w:val="single" w:sz="8" w:space="0" w:color="auto"/>
              <w:bottom w:val="single" w:sz="4"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Fe</w:t>
            </w:r>
            <w:r w:rsidRPr="005A06BF">
              <w:rPr>
                <w:rFonts w:ascii="Times New Roman" w:hAnsi="Times New Roman" w:cs="Times New Roman"/>
                <w:sz w:val="18"/>
                <w:szCs w:val="18"/>
                <w:vertAlign w:val="superscript"/>
              </w:rPr>
              <w:t>2+</w:t>
            </w:r>
            <w:r w:rsidRPr="005A06BF">
              <w:rPr>
                <w:rFonts w:ascii="Times New Roman" w:hAnsi="Times New Roman" w:cs="Times New Roman"/>
                <w:sz w:val="18"/>
                <w:szCs w:val="18"/>
              </w:rPr>
              <w:t xml:space="preserve"> (sat)</w:t>
            </w:r>
          </w:p>
        </w:tc>
      </w:tr>
      <w:tr w:rsidR="005A06BF" w:rsidRPr="005A06BF" w:rsidTr="00DB1B75">
        <w:trPr>
          <w:trHeight w:val="580"/>
        </w:trPr>
        <w:tc>
          <w:tcPr>
            <w:tcW w:w="1414" w:type="dxa"/>
            <w:vMerge/>
            <w:tcBorders>
              <w:bottom w:val="single" w:sz="8"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p>
        </w:tc>
        <w:tc>
          <w:tcPr>
            <w:tcW w:w="996" w:type="dxa"/>
            <w:vMerge/>
            <w:tcBorders>
              <w:bottom w:val="single" w:sz="8"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p>
        </w:tc>
        <w:tc>
          <w:tcPr>
            <w:tcW w:w="850" w:type="dxa"/>
            <w:tcBorders>
              <w:top w:val="single" w:sz="4" w:space="0" w:color="auto"/>
              <w:bottom w:val="single" w:sz="8"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515.3</w:t>
            </w:r>
          </w:p>
        </w:tc>
        <w:tc>
          <w:tcPr>
            <w:tcW w:w="850" w:type="dxa"/>
            <w:tcBorders>
              <w:top w:val="single" w:sz="4" w:space="0" w:color="auto"/>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516.5</w:t>
            </w:r>
          </w:p>
        </w:tc>
        <w:tc>
          <w:tcPr>
            <w:tcW w:w="850" w:type="dxa"/>
            <w:tcBorders>
              <w:top w:val="single" w:sz="4" w:space="0" w:color="auto"/>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517.8</w:t>
            </w:r>
          </w:p>
        </w:tc>
        <w:tc>
          <w:tcPr>
            <w:tcW w:w="850" w:type="dxa"/>
            <w:tcBorders>
              <w:top w:val="single" w:sz="4" w:space="0" w:color="auto"/>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710.9</w:t>
            </w:r>
          </w:p>
        </w:tc>
        <w:tc>
          <w:tcPr>
            <w:tcW w:w="850" w:type="dxa"/>
            <w:tcBorders>
              <w:top w:val="single" w:sz="4" w:space="0" w:color="auto"/>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713.1</w:t>
            </w:r>
          </w:p>
        </w:tc>
        <w:tc>
          <w:tcPr>
            <w:tcW w:w="850" w:type="dxa"/>
            <w:tcBorders>
              <w:top w:val="single" w:sz="4" w:space="0" w:color="auto"/>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719.2</w:t>
            </w:r>
          </w:p>
        </w:tc>
        <w:tc>
          <w:tcPr>
            <w:tcW w:w="850" w:type="dxa"/>
            <w:tcBorders>
              <w:top w:val="single" w:sz="4" w:space="0" w:color="auto"/>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708.8</w:t>
            </w:r>
          </w:p>
        </w:tc>
        <w:tc>
          <w:tcPr>
            <w:tcW w:w="850" w:type="dxa"/>
            <w:tcBorders>
              <w:top w:val="single" w:sz="4" w:space="0" w:color="auto"/>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715.5</w:t>
            </w:r>
          </w:p>
        </w:tc>
      </w:tr>
      <w:tr w:rsidR="005A06BF" w:rsidRPr="005A06BF" w:rsidTr="00DB1B75">
        <w:trPr>
          <w:trHeight w:val="20"/>
        </w:trPr>
        <w:tc>
          <w:tcPr>
            <w:tcW w:w="1414" w:type="dxa"/>
            <w:vMerge w:val="restart"/>
            <w:tcBorders>
              <w:top w:val="single" w:sz="8" w:space="0" w:color="auto"/>
            </w:tcBorders>
            <w:noWrap/>
            <w:vAlign w:val="center"/>
            <w:hideMark/>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Pristine state</w:t>
            </w:r>
          </w:p>
        </w:tc>
        <w:tc>
          <w:tcPr>
            <w:tcW w:w="996" w:type="dxa"/>
            <w:tcBorders>
              <w:top w:val="single" w:sz="8" w:space="0" w:color="auto"/>
            </w:tcBorders>
            <w:noWrap/>
            <w:vAlign w:val="center"/>
            <w:hideMark/>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area</w:t>
            </w:r>
          </w:p>
        </w:tc>
        <w:tc>
          <w:tcPr>
            <w:tcW w:w="850" w:type="dxa"/>
            <w:tcBorders>
              <w:top w:val="single" w:sz="8" w:space="0" w:color="auto"/>
            </w:tcBorders>
            <w:noWrap/>
            <w:vAlign w:val="center"/>
            <w:hideMark/>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w:t>
            </w:r>
          </w:p>
        </w:tc>
        <w:tc>
          <w:tcPr>
            <w:tcW w:w="850" w:type="dxa"/>
            <w:tcBorders>
              <w:top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4929</w:t>
            </w:r>
          </w:p>
        </w:tc>
        <w:tc>
          <w:tcPr>
            <w:tcW w:w="850" w:type="dxa"/>
            <w:tcBorders>
              <w:top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57662</w:t>
            </w:r>
          </w:p>
        </w:tc>
        <w:tc>
          <w:tcPr>
            <w:tcW w:w="850" w:type="dxa"/>
            <w:tcBorders>
              <w:top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23374</w:t>
            </w:r>
          </w:p>
        </w:tc>
        <w:tc>
          <w:tcPr>
            <w:tcW w:w="850" w:type="dxa"/>
            <w:tcBorders>
              <w:top w:val="single" w:sz="8" w:space="0" w:color="auto"/>
            </w:tcBorders>
            <w:vAlign w:val="center"/>
          </w:tcPr>
          <w:p w:rsidR="00CF298F" w:rsidRPr="005A06BF" w:rsidRDefault="00CF298F" w:rsidP="00DB1B75">
            <w:pPr>
              <w:spacing w:line="360" w:lineRule="auto"/>
              <w:jc w:val="center"/>
              <w:rPr>
                <w:rFonts w:ascii="Times New Roman" w:eastAsia="DengXian" w:hAnsi="Times New Roman" w:cs="Times New Roman"/>
                <w:sz w:val="18"/>
                <w:szCs w:val="18"/>
              </w:rPr>
            </w:pPr>
            <w:r w:rsidRPr="005A06BF">
              <w:rPr>
                <w:rFonts w:ascii="Times New Roman" w:eastAsia="DengXian" w:hAnsi="Times New Roman" w:cs="Times New Roman"/>
                <w:sz w:val="18"/>
                <w:szCs w:val="18"/>
              </w:rPr>
              <w:t>10006</w:t>
            </w:r>
          </w:p>
        </w:tc>
        <w:tc>
          <w:tcPr>
            <w:tcW w:w="850" w:type="dxa"/>
            <w:tcBorders>
              <w:top w:val="single" w:sz="8" w:space="0" w:color="auto"/>
            </w:tcBorders>
            <w:vAlign w:val="center"/>
          </w:tcPr>
          <w:p w:rsidR="00CF298F" w:rsidRPr="005A06BF" w:rsidRDefault="00CF298F" w:rsidP="00DB1B75">
            <w:pPr>
              <w:spacing w:line="360" w:lineRule="auto"/>
              <w:jc w:val="center"/>
              <w:rPr>
                <w:rFonts w:ascii="Times New Roman" w:eastAsia="DengXian" w:hAnsi="Times New Roman" w:cs="Times New Roman"/>
                <w:sz w:val="18"/>
                <w:szCs w:val="18"/>
              </w:rPr>
            </w:pPr>
            <w:r w:rsidRPr="005A06BF">
              <w:rPr>
                <w:rFonts w:ascii="Times New Roman" w:eastAsia="DengXian" w:hAnsi="Times New Roman" w:cs="Times New Roman"/>
                <w:sz w:val="18"/>
                <w:szCs w:val="18"/>
              </w:rPr>
              <w:t>1040</w:t>
            </w:r>
          </w:p>
        </w:tc>
        <w:tc>
          <w:tcPr>
            <w:tcW w:w="850" w:type="dxa"/>
            <w:tcBorders>
              <w:top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hint="eastAsia"/>
                <w:sz w:val="18"/>
                <w:szCs w:val="18"/>
              </w:rPr>
              <w:t>-</w:t>
            </w:r>
            <w:r w:rsidRPr="005A06BF">
              <w:rPr>
                <w:rFonts w:ascii="Times New Roman" w:hAnsi="Times New Roman" w:cs="Times New Roman"/>
                <w:sz w:val="18"/>
                <w:szCs w:val="18"/>
              </w:rPr>
              <w:t>-</w:t>
            </w:r>
          </w:p>
        </w:tc>
        <w:tc>
          <w:tcPr>
            <w:tcW w:w="850" w:type="dxa"/>
            <w:tcBorders>
              <w:top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hint="eastAsia"/>
                <w:sz w:val="18"/>
                <w:szCs w:val="18"/>
              </w:rPr>
              <w:t>-</w:t>
            </w:r>
            <w:r w:rsidRPr="005A06BF">
              <w:rPr>
                <w:rFonts w:ascii="Times New Roman" w:hAnsi="Times New Roman" w:cs="Times New Roman"/>
                <w:sz w:val="18"/>
                <w:szCs w:val="18"/>
              </w:rPr>
              <w:t>-</w:t>
            </w:r>
          </w:p>
        </w:tc>
      </w:tr>
      <w:tr w:rsidR="005A06BF" w:rsidRPr="005A06BF" w:rsidTr="00DB1B75">
        <w:trPr>
          <w:trHeight w:val="20"/>
        </w:trPr>
        <w:tc>
          <w:tcPr>
            <w:tcW w:w="1414" w:type="dxa"/>
            <w:vMerge/>
            <w:noWrap/>
            <w:vAlign w:val="center"/>
          </w:tcPr>
          <w:p w:rsidR="00CF298F" w:rsidRPr="005A06BF" w:rsidRDefault="00CF298F" w:rsidP="00DB1B75">
            <w:pPr>
              <w:spacing w:line="360" w:lineRule="auto"/>
              <w:jc w:val="center"/>
              <w:rPr>
                <w:rFonts w:ascii="Times New Roman" w:hAnsi="Times New Roman" w:cs="Times New Roman"/>
                <w:sz w:val="18"/>
                <w:szCs w:val="18"/>
              </w:rPr>
            </w:pPr>
          </w:p>
        </w:tc>
        <w:tc>
          <w:tcPr>
            <w:tcW w:w="996" w:type="dxa"/>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percentage</w:t>
            </w:r>
          </w:p>
        </w:tc>
        <w:tc>
          <w:tcPr>
            <w:tcW w:w="850" w:type="dxa"/>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7.9%</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92.1%</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67.9%</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29.1%</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3.0%</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hint="eastAsia"/>
                <w:sz w:val="18"/>
                <w:szCs w:val="18"/>
              </w:rPr>
              <w:t>-</w:t>
            </w:r>
            <w:r w:rsidRPr="005A06BF">
              <w:rPr>
                <w:rFonts w:ascii="Times New Roman" w:hAnsi="Times New Roman" w:cs="Times New Roman"/>
                <w:sz w:val="18"/>
                <w:szCs w:val="18"/>
              </w:rPr>
              <w:t>-</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hint="eastAsia"/>
                <w:sz w:val="18"/>
                <w:szCs w:val="18"/>
              </w:rPr>
              <w:t>-</w:t>
            </w:r>
            <w:r w:rsidRPr="005A06BF">
              <w:rPr>
                <w:rFonts w:ascii="Times New Roman" w:hAnsi="Times New Roman" w:cs="Times New Roman"/>
                <w:sz w:val="18"/>
                <w:szCs w:val="18"/>
              </w:rPr>
              <w:t>-</w:t>
            </w:r>
          </w:p>
        </w:tc>
      </w:tr>
      <w:tr w:rsidR="005A06BF" w:rsidRPr="005A06BF" w:rsidTr="00DB1B75">
        <w:trPr>
          <w:trHeight w:val="20"/>
        </w:trPr>
        <w:tc>
          <w:tcPr>
            <w:tcW w:w="1414" w:type="dxa"/>
            <w:vMerge w:val="restart"/>
            <w:noWrap/>
            <w:vAlign w:val="center"/>
          </w:tcPr>
          <w:p w:rsidR="00CF298F" w:rsidRPr="005A06BF" w:rsidRDefault="00CF298F" w:rsidP="00DB1B75">
            <w:pPr>
              <w:spacing w:line="360" w:lineRule="auto"/>
              <w:jc w:val="center"/>
              <w:rPr>
                <w:rFonts w:ascii="Times New Roman" w:hAnsi="Times New Roman" w:cs="Times New Roman"/>
                <w:sz w:val="18"/>
                <w:szCs w:val="18"/>
              </w:rPr>
            </w:pPr>
            <w:bookmarkStart w:id="9" w:name="_Hlk488244937"/>
            <w:r w:rsidRPr="005A06BF">
              <w:rPr>
                <w:rFonts w:ascii="Times New Roman" w:hAnsi="Times New Roman" w:cs="Times New Roman"/>
                <w:sz w:val="18"/>
                <w:szCs w:val="18"/>
              </w:rPr>
              <w:t>Discharged state</w:t>
            </w:r>
          </w:p>
        </w:tc>
        <w:tc>
          <w:tcPr>
            <w:tcW w:w="996" w:type="dxa"/>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area</w:t>
            </w:r>
          </w:p>
        </w:tc>
        <w:tc>
          <w:tcPr>
            <w:tcW w:w="850" w:type="dxa"/>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14046</w:t>
            </w:r>
          </w:p>
        </w:tc>
        <w:tc>
          <w:tcPr>
            <w:tcW w:w="850" w:type="dxa"/>
            <w:vAlign w:val="center"/>
          </w:tcPr>
          <w:p w:rsidR="00CF298F" w:rsidRPr="005A06BF" w:rsidRDefault="00CF298F" w:rsidP="00DB1B75">
            <w:pPr>
              <w:spacing w:line="360" w:lineRule="auto"/>
              <w:jc w:val="center"/>
              <w:rPr>
                <w:rFonts w:ascii="Times New Roman" w:eastAsia="DengXian" w:hAnsi="Times New Roman" w:cs="Times New Roman"/>
                <w:sz w:val="18"/>
                <w:szCs w:val="18"/>
              </w:rPr>
            </w:pPr>
            <w:r w:rsidRPr="005A06BF">
              <w:rPr>
                <w:rFonts w:ascii="Times New Roman" w:eastAsia="DengXian" w:hAnsi="Times New Roman" w:cs="Times New Roman"/>
                <w:sz w:val="18"/>
                <w:szCs w:val="18"/>
              </w:rPr>
              <w:t>14218</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4173</w:t>
            </w:r>
          </w:p>
        </w:tc>
        <w:tc>
          <w:tcPr>
            <w:tcW w:w="850" w:type="dxa"/>
            <w:vAlign w:val="center"/>
          </w:tcPr>
          <w:p w:rsidR="00CF298F" w:rsidRPr="005A06BF" w:rsidRDefault="00CF298F" w:rsidP="00DB1B75">
            <w:pPr>
              <w:spacing w:line="360" w:lineRule="auto"/>
              <w:jc w:val="center"/>
              <w:rPr>
                <w:rFonts w:ascii="Times New Roman" w:eastAsia="DengXian" w:hAnsi="Times New Roman" w:cs="Times New Roman"/>
                <w:sz w:val="18"/>
                <w:szCs w:val="18"/>
              </w:rPr>
            </w:pPr>
            <w:r w:rsidRPr="005A06BF">
              <w:rPr>
                <w:rFonts w:ascii="Times New Roman" w:eastAsia="DengXian" w:hAnsi="Times New Roman" w:cs="Times New Roman"/>
                <w:sz w:val="18"/>
                <w:szCs w:val="18"/>
              </w:rPr>
              <w:t>26274</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eastAsia="DengXian" w:hAnsi="Times New Roman" w:cs="Times New Roman"/>
                <w:sz w:val="18"/>
                <w:szCs w:val="18"/>
              </w:rPr>
              <w:t>7981</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eastAsia="DengXian" w:hAnsi="Times New Roman" w:cs="Times New Roman"/>
                <w:sz w:val="18"/>
                <w:szCs w:val="18"/>
              </w:rPr>
              <w:t>760</w:t>
            </w:r>
          </w:p>
        </w:tc>
        <w:tc>
          <w:tcPr>
            <w:tcW w:w="850" w:type="dxa"/>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eastAsia="DengXian" w:hAnsi="Times New Roman" w:cs="Times New Roman"/>
                <w:sz w:val="18"/>
                <w:szCs w:val="18"/>
              </w:rPr>
              <w:t>11757</w:t>
            </w:r>
          </w:p>
        </w:tc>
        <w:tc>
          <w:tcPr>
            <w:tcW w:w="850" w:type="dxa"/>
            <w:vAlign w:val="center"/>
          </w:tcPr>
          <w:p w:rsidR="00CF298F" w:rsidRPr="005A06BF" w:rsidRDefault="00CF298F" w:rsidP="00DB1B75">
            <w:pPr>
              <w:spacing w:line="360" w:lineRule="auto"/>
              <w:jc w:val="center"/>
              <w:rPr>
                <w:rFonts w:ascii="Times New Roman" w:eastAsia="DengXian" w:hAnsi="Times New Roman" w:cs="Times New Roman"/>
                <w:sz w:val="18"/>
                <w:szCs w:val="18"/>
              </w:rPr>
            </w:pPr>
            <w:r w:rsidRPr="005A06BF">
              <w:rPr>
                <w:rFonts w:ascii="Times New Roman" w:eastAsia="DengXian" w:hAnsi="Times New Roman" w:cs="Times New Roman"/>
                <w:sz w:val="18"/>
                <w:szCs w:val="18"/>
              </w:rPr>
              <w:t>15450</w:t>
            </w:r>
          </w:p>
        </w:tc>
      </w:tr>
      <w:tr w:rsidR="005A06BF" w:rsidRPr="005A06BF" w:rsidTr="00DB1B75">
        <w:trPr>
          <w:trHeight w:val="20"/>
        </w:trPr>
        <w:tc>
          <w:tcPr>
            <w:tcW w:w="1414" w:type="dxa"/>
            <w:vMerge/>
            <w:tcBorders>
              <w:bottom w:val="single" w:sz="8"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bookmarkStart w:id="10" w:name="_Hlk488245343"/>
          </w:p>
        </w:tc>
        <w:tc>
          <w:tcPr>
            <w:tcW w:w="996" w:type="dxa"/>
            <w:tcBorders>
              <w:bottom w:val="single" w:sz="8"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percentage</w:t>
            </w:r>
          </w:p>
        </w:tc>
        <w:tc>
          <w:tcPr>
            <w:tcW w:w="850" w:type="dxa"/>
            <w:tcBorders>
              <w:bottom w:val="single" w:sz="8" w:space="0" w:color="auto"/>
            </w:tcBorders>
            <w:noWrap/>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43.3</w:t>
            </w:r>
            <w:r w:rsidRPr="005A06BF">
              <w:rPr>
                <w:rFonts w:ascii="Times New Roman" w:hAnsi="Times New Roman" w:cs="Times New Roman" w:hint="eastAsia"/>
                <w:sz w:val="18"/>
                <w:szCs w:val="18"/>
              </w:rPr>
              <w:t>%</w:t>
            </w:r>
          </w:p>
        </w:tc>
        <w:tc>
          <w:tcPr>
            <w:tcW w:w="850" w:type="dxa"/>
            <w:tcBorders>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43.8</w:t>
            </w:r>
            <w:r w:rsidRPr="005A06BF">
              <w:rPr>
                <w:rFonts w:ascii="Times New Roman" w:hAnsi="Times New Roman" w:cs="Times New Roman" w:hint="eastAsia"/>
                <w:sz w:val="18"/>
                <w:szCs w:val="18"/>
              </w:rPr>
              <w:t>%</w:t>
            </w:r>
          </w:p>
        </w:tc>
        <w:tc>
          <w:tcPr>
            <w:tcW w:w="850" w:type="dxa"/>
            <w:tcBorders>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12.9</w:t>
            </w:r>
            <w:r w:rsidRPr="005A06BF">
              <w:rPr>
                <w:rFonts w:ascii="Times New Roman" w:hAnsi="Times New Roman" w:cs="Times New Roman" w:hint="eastAsia"/>
                <w:sz w:val="18"/>
                <w:szCs w:val="18"/>
              </w:rPr>
              <w:t>%</w:t>
            </w:r>
          </w:p>
        </w:tc>
        <w:tc>
          <w:tcPr>
            <w:tcW w:w="850" w:type="dxa"/>
            <w:tcBorders>
              <w:bottom w:val="single" w:sz="8" w:space="0" w:color="auto"/>
            </w:tcBorders>
            <w:vAlign w:val="center"/>
          </w:tcPr>
          <w:p w:rsidR="00CF298F" w:rsidRPr="005A06BF" w:rsidRDefault="00CF298F" w:rsidP="00DB1B75">
            <w:pPr>
              <w:spacing w:line="360" w:lineRule="auto"/>
              <w:jc w:val="center"/>
              <w:rPr>
                <w:rFonts w:ascii="Times New Roman" w:eastAsia="DengXian" w:hAnsi="Times New Roman" w:cs="Times New Roman"/>
                <w:sz w:val="18"/>
                <w:szCs w:val="18"/>
              </w:rPr>
            </w:pPr>
            <w:r w:rsidRPr="005A06BF">
              <w:rPr>
                <w:rFonts w:ascii="Times New Roman" w:eastAsia="DengXian" w:hAnsi="Times New Roman" w:cs="Times New Roman"/>
                <w:sz w:val="18"/>
                <w:szCs w:val="18"/>
              </w:rPr>
              <w:t>42.2%</w:t>
            </w:r>
          </w:p>
        </w:tc>
        <w:tc>
          <w:tcPr>
            <w:tcW w:w="850" w:type="dxa"/>
            <w:tcBorders>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12.8%</w:t>
            </w:r>
          </w:p>
        </w:tc>
        <w:tc>
          <w:tcPr>
            <w:tcW w:w="850" w:type="dxa"/>
            <w:tcBorders>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1.2%</w:t>
            </w:r>
          </w:p>
        </w:tc>
        <w:tc>
          <w:tcPr>
            <w:tcW w:w="850" w:type="dxa"/>
            <w:tcBorders>
              <w:bottom w:val="single" w:sz="8" w:space="0" w:color="auto"/>
            </w:tcBorders>
            <w:vAlign w:val="center"/>
          </w:tcPr>
          <w:p w:rsidR="00CF298F" w:rsidRPr="005A06BF" w:rsidRDefault="00CF298F" w:rsidP="00DB1B75">
            <w:pPr>
              <w:spacing w:line="360" w:lineRule="auto"/>
              <w:jc w:val="center"/>
              <w:rPr>
                <w:rFonts w:ascii="Times New Roman" w:hAnsi="Times New Roman" w:cs="Times New Roman"/>
                <w:sz w:val="18"/>
                <w:szCs w:val="18"/>
              </w:rPr>
            </w:pPr>
            <w:r w:rsidRPr="005A06BF">
              <w:rPr>
                <w:rFonts w:ascii="Times New Roman" w:hAnsi="Times New Roman" w:cs="Times New Roman"/>
                <w:sz w:val="18"/>
                <w:szCs w:val="18"/>
              </w:rPr>
              <w:t>18.9%</w:t>
            </w:r>
          </w:p>
        </w:tc>
        <w:tc>
          <w:tcPr>
            <w:tcW w:w="850" w:type="dxa"/>
            <w:tcBorders>
              <w:bottom w:val="single" w:sz="8" w:space="0" w:color="auto"/>
            </w:tcBorders>
            <w:vAlign w:val="center"/>
          </w:tcPr>
          <w:p w:rsidR="00CF298F" w:rsidRPr="005A06BF" w:rsidRDefault="00CF298F" w:rsidP="00DB1B75">
            <w:pPr>
              <w:spacing w:line="360" w:lineRule="auto"/>
              <w:jc w:val="center"/>
              <w:rPr>
                <w:rFonts w:ascii="Times New Roman" w:eastAsia="DengXian" w:hAnsi="Times New Roman" w:cs="Times New Roman"/>
                <w:sz w:val="18"/>
                <w:szCs w:val="18"/>
              </w:rPr>
            </w:pPr>
            <w:r w:rsidRPr="005A06BF">
              <w:rPr>
                <w:rFonts w:ascii="Times New Roman" w:eastAsia="DengXian" w:hAnsi="Times New Roman" w:cs="Times New Roman"/>
                <w:sz w:val="18"/>
                <w:szCs w:val="18"/>
              </w:rPr>
              <w:t>24.8%</w:t>
            </w:r>
          </w:p>
        </w:tc>
      </w:tr>
      <w:bookmarkEnd w:id="9"/>
      <w:bookmarkEnd w:id="10"/>
    </w:tbl>
    <w:p w:rsidR="00CF298F" w:rsidRPr="005A06BF" w:rsidRDefault="00CF298F" w:rsidP="00CF298F">
      <w:pPr>
        <w:spacing w:line="360" w:lineRule="auto"/>
        <w:jc w:val="center"/>
        <w:rPr>
          <w:rFonts w:ascii="Times New Roman" w:hAnsi="Times New Roman"/>
          <w:sz w:val="24"/>
          <w:szCs w:val="24"/>
        </w:rPr>
      </w:pPr>
    </w:p>
    <w:p w:rsidR="00CF298F" w:rsidRPr="005A06BF" w:rsidRDefault="00CF298F" w:rsidP="00CF298F">
      <w:pPr>
        <w:spacing w:line="360" w:lineRule="auto"/>
        <w:rPr>
          <w:rFonts w:ascii="Times New Roman" w:hAnsi="Times New Roman" w:cs="Times New Roman"/>
          <w:sz w:val="24"/>
        </w:rPr>
      </w:pPr>
      <w:r w:rsidRPr="005A06BF">
        <w:rPr>
          <w:rFonts w:ascii="Times New Roman" w:hAnsi="Times New Roman"/>
          <w:sz w:val="24"/>
          <w:szCs w:val="24"/>
        </w:rPr>
        <w:t xml:space="preserve">The relation between the charge storage number and the capacity can be figured out based on the equation: </w:t>
      </w:r>
      <w:r w:rsidRPr="005A06BF">
        <w:rPr>
          <w:rFonts w:ascii="Times New Roman" w:hAnsi="Times New Roman"/>
          <w:i/>
          <w:sz w:val="24"/>
          <w:szCs w:val="24"/>
        </w:rPr>
        <w:t>n</w:t>
      </w:r>
      <w:r w:rsidRPr="005A06BF">
        <w:rPr>
          <w:rFonts w:ascii="Times New Roman" w:hAnsi="Times New Roman"/>
          <w:sz w:val="24"/>
          <w:szCs w:val="24"/>
        </w:rPr>
        <w:t xml:space="preserve"> = (3.6</w:t>
      </w:r>
      <w:r w:rsidRPr="005A06BF">
        <w:rPr>
          <w:rFonts w:ascii="Times New Roman" w:hAnsi="Times New Roman"/>
          <w:i/>
          <w:sz w:val="24"/>
          <w:szCs w:val="24"/>
        </w:rPr>
        <w:t>MC</w:t>
      </w:r>
      <w:r w:rsidRPr="005A06BF">
        <w:rPr>
          <w:rFonts w:ascii="Times New Roman" w:hAnsi="Times New Roman"/>
          <w:sz w:val="24"/>
          <w:szCs w:val="24"/>
        </w:rPr>
        <w:t>)/</w:t>
      </w:r>
      <w:r w:rsidRPr="005A06BF">
        <w:rPr>
          <w:rFonts w:ascii="Times New Roman" w:hAnsi="Times New Roman"/>
          <w:i/>
          <w:sz w:val="24"/>
          <w:szCs w:val="24"/>
        </w:rPr>
        <w:t>F</w:t>
      </w:r>
      <w:r w:rsidRPr="005A06BF">
        <w:rPr>
          <w:rFonts w:ascii="Times New Roman" w:hAnsi="Times New Roman"/>
          <w:sz w:val="24"/>
          <w:szCs w:val="24"/>
        </w:rPr>
        <w:t xml:space="preserve">, where </w:t>
      </w:r>
      <w:r w:rsidRPr="005A06BF">
        <w:rPr>
          <w:rFonts w:ascii="Times New Roman" w:hAnsi="Times New Roman"/>
          <w:i/>
          <w:sz w:val="24"/>
          <w:szCs w:val="24"/>
        </w:rPr>
        <w:t>n</w:t>
      </w:r>
      <w:r w:rsidRPr="005A06BF">
        <w:rPr>
          <w:rFonts w:ascii="Times New Roman" w:hAnsi="Times New Roman"/>
          <w:sz w:val="24"/>
          <w:szCs w:val="24"/>
        </w:rPr>
        <w:t xml:space="preserve"> represents the inserted ion amount (mol), </w:t>
      </w:r>
      <w:r w:rsidRPr="005A06BF">
        <w:rPr>
          <w:rFonts w:ascii="Times New Roman" w:hAnsi="Times New Roman"/>
          <w:i/>
          <w:sz w:val="24"/>
          <w:szCs w:val="24"/>
        </w:rPr>
        <w:t>F</w:t>
      </w:r>
      <w:r w:rsidRPr="005A06BF">
        <w:rPr>
          <w:rFonts w:ascii="Times New Roman" w:hAnsi="Times New Roman"/>
          <w:sz w:val="24"/>
          <w:szCs w:val="24"/>
        </w:rPr>
        <w:t xml:space="preserve"> represents the Faraday constant (C mol</w:t>
      </w:r>
      <w:r w:rsidRPr="005A06BF">
        <w:rPr>
          <w:rFonts w:ascii="Times New Roman" w:hAnsi="Times New Roman"/>
          <w:sz w:val="24"/>
          <w:szCs w:val="24"/>
          <w:vertAlign w:val="superscript"/>
        </w:rPr>
        <w:t>-1</w:t>
      </w:r>
      <w:r w:rsidRPr="005A06BF">
        <w:rPr>
          <w:rFonts w:ascii="Times New Roman" w:hAnsi="Times New Roman"/>
          <w:sz w:val="24"/>
          <w:szCs w:val="24"/>
        </w:rPr>
        <w:t xml:space="preserve">), </w:t>
      </w:r>
      <w:r w:rsidRPr="005A06BF">
        <w:rPr>
          <w:rFonts w:ascii="Times New Roman" w:hAnsi="Times New Roman"/>
          <w:i/>
          <w:sz w:val="24"/>
          <w:szCs w:val="24"/>
        </w:rPr>
        <w:t>C</w:t>
      </w:r>
      <w:r w:rsidRPr="005A06BF">
        <w:rPr>
          <w:rFonts w:ascii="Times New Roman" w:hAnsi="Times New Roman"/>
          <w:sz w:val="24"/>
          <w:szCs w:val="24"/>
        </w:rPr>
        <w:t xml:space="preserve"> represents the capacity (mAh g</w:t>
      </w:r>
      <w:r w:rsidRPr="005A06BF">
        <w:rPr>
          <w:rFonts w:ascii="Times New Roman" w:hAnsi="Times New Roman"/>
          <w:sz w:val="24"/>
          <w:szCs w:val="24"/>
          <w:vertAlign w:val="superscript"/>
        </w:rPr>
        <w:t>-1</w:t>
      </w:r>
      <w:r w:rsidRPr="005A06BF">
        <w:rPr>
          <w:rFonts w:ascii="Times New Roman" w:hAnsi="Times New Roman"/>
          <w:sz w:val="24"/>
          <w:szCs w:val="24"/>
        </w:rPr>
        <w:t xml:space="preserve">), and </w:t>
      </w:r>
      <w:r w:rsidRPr="005A06BF">
        <w:rPr>
          <w:rFonts w:ascii="Times New Roman" w:hAnsi="Times New Roman"/>
          <w:i/>
          <w:sz w:val="24"/>
          <w:szCs w:val="24"/>
        </w:rPr>
        <w:t>M</w:t>
      </w:r>
      <w:r w:rsidRPr="005A06BF">
        <w:rPr>
          <w:rFonts w:ascii="Times New Roman" w:hAnsi="Times New Roman"/>
          <w:sz w:val="24"/>
          <w:szCs w:val="24"/>
        </w:rPr>
        <w:t xml:space="preserve"> represents the molecular weight (g mol</w:t>
      </w:r>
      <w:r w:rsidRPr="005A06BF">
        <w:rPr>
          <w:rFonts w:ascii="Times New Roman" w:hAnsi="Times New Roman"/>
          <w:sz w:val="24"/>
          <w:szCs w:val="24"/>
          <w:vertAlign w:val="superscript"/>
        </w:rPr>
        <w:t>-1</w:t>
      </w:r>
      <w:r w:rsidRPr="005A06BF">
        <w:rPr>
          <w:rFonts w:ascii="Times New Roman" w:hAnsi="Times New Roman"/>
          <w:sz w:val="24"/>
          <w:szCs w:val="24"/>
        </w:rPr>
        <w:t>). The FeVO NSs deliver a capacity of 312 mAh g</w:t>
      </w:r>
      <w:r w:rsidRPr="005A06BF">
        <w:rPr>
          <w:rFonts w:ascii="Times New Roman" w:hAnsi="Times New Roman"/>
          <w:sz w:val="24"/>
          <w:szCs w:val="24"/>
          <w:vertAlign w:val="superscript"/>
        </w:rPr>
        <w:t>-1</w:t>
      </w:r>
      <w:r w:rsidRPr="005A06BF">
        <w:rPr>
          <w:rFonts w:ascii="Times New Roman" w:hAnsi="Times New Roman"/>
          <w:sz w:val="24"/>
          <w:szCs w:val="24"/>
        </w:rPr>
        <w:t xml:space="preserve">, </w:t>
      </w:r>
      <w:r w:rsidRPr="005A06BF">
        <w:rPr>
          <w:rFonts w:ascii="Times New Roman" w:hAnsi="Times New Roman" w:cs="Times New Roman"/>
          <w:sz w:val="24"/>
        </w:rPr>
        <w:t>that is according to 23.1 mol Li</w:t>
      </w:r>
      <w:r w:rsidRPr="005A06BF">
        <w:rPr>
          <w:rFonts w:ascii="Times New Roman" w:hAnsi="Times New Roman" w:cs="Times New Roman"/>
          <w:sz w:val="24"/>
          <w:vertAlign w:val="superscript"/>
        </w:rPr>
        <w:t>+</w:t>
      </w:r>
      <w:r w:rsidRPr="005A06BF">
        <w:rPr>
          <w:rFonts w:ascii="Times New Roman" w:hAnsi="Times New Roman" w:cs="Times New Roman"/>
          <w:sz w:val="24"/>
        </w:rPr>
        <w:t xml:space="preserve"> per unit formula. </w:t>
      </w:r>
      <w:r w:rsidRPr="005A06BF">
        <w:rPr>
          <w:rFonts w:ascii="Times New Roman" w:hAnsi="Times New Roman"/>
          <w:sz w:val="24"/>
          <w:szCs w:val="24"/>
        </w:rPr>
        <w:t xml:space="preserve">Based on the detailed </w:t>
      </w:r>
      <w:r w:rsidRPr="005A06BF">
        <w:rPr>
          <w:rFonts w:ascii="Times New Roman" w:hAnsi="Times New Roman"/>
          <w:sz w:val="24"/>
          <w:szCs w:val="24"/>
        </w:rPr>
        <w:lastRenderedPageBreak/>
        <w:t>calculation of the valence change</w:t>
      </w:r>
      <w:r w:rsidRPr="005A06BF">
        <w:rPr>
          <w:rFonts w:ascii="Times New Roman" w:hAnsi="Times New Roman" w:hint="eastAsia"/>
          <w:sz w:val="24"/>
          <w:szCs w:val="24"/>
        </w:rPr>
        <w:t>s</w:t>
      </w:r>
      <w:r w:rsidRPr="005A06BF">
        <w:rPr>
          <w:rFonts w:ascii="Times New Roman" w:hAnsi="Times New Roman"/>
          <w:sz w:val="24"/>
          <w:szCs w:val="24"/>
        </w:rPr>
        <w:t xml:space="preserve"> from XPS data, the detailed change of the average valence of vanadium is from +4.92 to +3.69, while the </w:t>
      </w:r>
      <w:r w:rsidR="00615941" w:rsidRPr="005A06BF">
        <w:rPr>
          <w:rFonts w:ascii="Times New Roman" w:hAnsi="Times New Roman"/>
          <w:sz w:val="24"/>
          <w:szCs w:val="24"/>
        </w:rPr>
        <w:t xml:space="preserve">that of </w:t>
      </w:r>
      <w:r w:rsidRPr="005A06BF">
        <w:rPr>
          <w:rFonts w:ascii="Times New Roman" w:hAnsi="Times New Roman"/>
          <w:sz w:val="24"/>
          <w:szCs w:val="24"/>
        </w:rPr>
        <w:t>iron is from +3 to +2.56. According to the chemical formula of Fe</w:t>
      </w:r>
      <w:r w:rsidRPr="005A06BF">
        <w:rPr>
          <w:rFonts w:ascii="Times New Roman" w:hAnsi="Times New Roman"/>
          <w:sz w:val="24"/>
          <w:szCs w:val="24"/>
          <w:vertAlign w:val="subscript"/>
        </w:rPr>
        <w:t>5</w:t>
      </w:r>
      <w:r w:rsidRPr="005A06BF">
        <w:rPr>
          <w:rFonts w:ascii="Times New Roman" w:hAnsi="Times New Roman"/>
          <w:sz w:val="24"/>
          <w:szCs w:val="24"/>
        </w:rPr>
        <w:t>V</w:t>
      </w:r>
      <w:r w:rsidRPr="005A06BF">
        <w:rPr>
          <w:rFonts w:ascii="Times New Roman" w:hAnsi="Times New Roman"/>
          <w:sz w:val="24"/>
          <w:szCs w:val="24"/>
          <w:vertAlign w:val="subscript"/>
        </w:rPr>
        <w:t>15</w:t>
      </w:r>
      <w:r w:rsidRPr="005A06BF">
        <w:rPr>
          <w:rFonts w:ascii="Times New Roman" w:hAnsi="Times New Roman"/>
          <w:sz w:val="24"/>
          <w:szCs w:val="24"/>
        </w:rPr>
        <w:t>O</w:t>
      </w:r>
      <w:r w:rsidRPr="005A06BF">
        <w:rPr>
          <w:rFonts w:ascii="Times New Roman" w:hAnsi="Times New Roman"/>
          <w:sz w:val="24"/>
          <w:szCs w:val="24"/>
          <w:vertAlign w:val="subscript"/>
        </w:rPr>
        <w:t>39</w:t>
      </w:r>
      <w:r w:rsidRPr="005A06BF">
        <w:rPr>
          <w:rFonts w:ascii="Times New Roman" w:hAnsi="Times New Roman"/>
          <w:sz w:val="24"/>
          <w:szCs w:val="24"/>
        </w:rPr>
        <w:t>(OH)</w:t>
      </w:r>
      <w:r w:rsidRPr="005A06BF">
        <w:rPr>
          <w:rFonts w:ascii="Times New Roman" w:hAnsi="Times New Roman"/>
          <w:sz w:val="24"/>
          <w:szCs w:val="24"/>
          <w:vertAlign w:val="subscript"/>
        </w:rPr>
        <w:t>9</w:t>
      </w:r>
      <w:r w:rsidRPr="005A06BF">
        <w:rPr>
          <w:rFonts w:ascii="Times New Roman" w:hAnsi="Times New Roman"/>
          <w:sz w:val="24"/>
          <w:szCs w:val="24"/>
        </w:rPr>
        <w:t>·9H</w:t>
      </w:r>
      <w:r w:rsidRPr="005A06BF">
        <w:rPr>
          <w:rFonts w:ascii="Times New Roman" w:hAnsi="Times New Roman"/>
          <w:sz w:val="24"/>
          <w:szCs w:val="24"/>
          <w:vertAlign w:val="subscript"/>
        </w:rPr>
        <w:t>2</w:t>
      </w:r>
      <w:r w:rsidRPr="005A06BF">
        <w:rPr>
          <w:rFonts w:ascii="Times New Roman" w:hAnsi="Times New Roman"/>
          <w:sz w:val="24"/>
          <w:szCs w:val="24"/>
        </w:rPr>
        <w:t>O, the total charge from the vanadium is 18.45 mol e</w:t>
      </w:r>
      <w:r w:rsidRPr="005A06BF">
        <w:rPr>
          <w:rFonts w:ascii="Times New Roman" w:hAnsi="Times New Roman"/>
          <w:sz w:val="24"/>
          <w:szCs w:val="24"/>
          <w:vertAlign w:val="superscript"/>
        </w:rPr>
        <w:t>-</w:t>
      </w:r>
      <w:r w:rsidRPr="005A06BF">
        <w:rPr>
          <w:rFonts w:ascii="Times New Roman" w:hAnsi="Times New Roman"/>
          <w:sz w:val="24"/>
          <w:szCs w:val="24"/>
        </w:rPr>
        <w:t xml:space="preserve"> per unit formula, while that from the iron is 2.2, indicating that </w:t>
      </w:r>
      <w:r w:rsidRPr="005A06BF">
        <w:rPr>
          <w:rFonts w:ascii="Times New Roman" w:eastAsia="MS Mincho" w:hAnsi="Times New Roman"/>
          <w:sz w:val="24"/>
          <w:szCs w:val="24"/>
        </w:rPr>
        <w:t xml:space="preserve">the contributed capacity from vanadium is much higher than that of iron. </w:t>
      </w:r>
      <w:r w:rsidRPr="005A06BF">
        <w:rPr>
          <w:rFonts w:ascii="Times New Roman" w:hAnsi="Times New Roman"/>
          <w:sz w:val="24"/>
          <w:szCs w:val="24"/>
        </w:rPr>
        <w:t>The total redox reaction number (20.65 mol e</w:t>
      </w:r>
      <w:r w:rsidRPr="005A06BF">
        <w:rPr>
          <w:rFonts w:ascii="Times New Roman" w:hAnsi="Times New Roman"/>
          <w:sz w:val="24"/>
          <w:szCs w:val="24"/>
          <w:vertAlign w:val="superscript"/>
        </w:rPr>
        <w:t>-</w:t>
      </w:r>
      <w:r w:rsidRPr="005A06BF">
        <w:rPr>
          <w:rFonts w:ascii="Times New Roman" w:hAnsi="Times New Roman"/>
          <w:sz w:val="24"/>
          <w:szCs w:val="24"/>
        </w:rPr>
        <w:t xml:space="preserve"> per unit formula) obtained from the XPS analyses, very closed to the delivered capacity (23.1</w:t>
      </w:r>
      <w:bookmarkStart w:id="11" w:name="_GoBack"/>
      <w:bookmarkEnd w:id="11"/>
      <w:r w:rsidRPr="005A06BF">
        <w:rPr>
          <w:rFonts w:ascii="Times New Roman" w:hAnsi="Times New Roman" w:cs="Times New Roman"/>
          <w:sz w:val="24"/>
        </w:rPr>
        <w:t xml:space="preserve"> mol Li</w:t>
      </w:r>
      <w:r w:rsidRPr="005A06BF">
        <w:rPr>
          <w:rFonts w:ascii="Times New Roman" w:hAnsi="Times New Roman" w:cs="Times New Roman"/>
          <w:sz w:val="24"/>
          <w:vertAlign w:val="superscript"/>
        </w:rPr>
        <w:t>+</w:t>
      </w:r>
      <w:r w:rsidRPr="005A06BF">
        <w:rPr>
          <w:rFonts w:ascii="Times New Roman" w:hAnsi="Times New Roman" w:cs="Times New Roman"/>
          <w:sz w:val="24"/>
        </w:rPr>
        <w:t xml:space="preserve"> per unit formula), </w:t>
      </w:r>
      <w:r w:rsidRPr="005A06BF">
        <w:rPr>
          <w:rFonts w:ascii="Times New Roman" w:hAnsi="Times New Roman" w:cs="Times New Roman" w:hint="eastAsia"/>
          <w:sz w:val="24"/>
        </w:rPr>
        <w:t>confirming</w:t>
      </w:r>
      <w:r w:rsidRPr="005A06BF">
        <w:rPr>
          <w:rFonts w:ascii="Times New Roman" w:hAnsi="Times New Roman" w:cs="Times New Roman"/>
          <w:sz w:val="24"/>
        </w:rPr>
        <w:t xml:space="preserve"> </w:t>
      </w:r>
      <w:r w:rsidRPr="005A06BF">
        <w:rPr>
          <w:rFonts w:ascii="Times New Roman" w:hAnsi="Times New Roman" w:cs="Times New Roman" w:hint="eastAsia"/>
          <w:sz w:val="24"/>
        </w:rPr>
        <w:t>t</w:t>
      </w:r>
      <w:r w:rsidRPr="005A06BF">
        <w:rPr>
          <w:rFonts w:ascii="Times New Roman" w:hAnsi="Times New Roman" w:cs="Times New Roman"/>
          <w:sz w:val="24"/>
        </w:rPr>
        <w:t>he pseudocapacitive charge storage mechanism.</w:t>
      </w:r>
    </w:p>
    <w:p w:rsidR="00CF298F" w:rsidRDefault="00CF298F">
      <w:pPr>
        <w:widowControl/>
        <w:jc w:val="left"/>
        <w:rPr>
          <w:rFonts w:ascii="Times New Roman" w:hAnsi="Times New Roman" w:cs="Times New Roman"/>
          <w:color w:val="FF0000"/>
          <w:sz w:val="24"/>
        </w:rPr>
      </w:pPr>
      <w:r>
        <w:rPr>
          <w:rFonts w:ascii="Times New Roman" w:hAnsi="Times New Roman" w:cs="Times New Roman"/>
          <w:color w:val="FF0000"/>
          <w:sz w:val="24"/>
        </w:rPr>
        <w:br w:type="page"/>
      </w:r>
    </w:p>
    <w:p w:rsidR="0072413B" w:rsidRPr="002C6B67" w:rsidRDefault="008D16CE" w:rsidP="00950B7A">
      <w:pPr>
        <w:spacing w:line="360" w:lineRule="auto"/>
        <w:jc w:val="center"/>
        <w:rPr>
          <w:rFonts w:ascii="Times New Roman" w:hAnsi="Times New Roman" w:cs="Times New Roman"/>
          <w:sz w:val="24"/>
          <w:szCs w:val="24"/>
        </w:rPr>
      </w:pPr>
      <w:r w:rsidRPr="002C6B67">
        <w:rPr>
          <w:rFonts w:ascii="Times New Roman" w:hAnsi="Times New Roman" w:cs="Times New Roman"/>
          <w:noProof/>
          <w:sz w:val="24"/>
          <w:szCs w:val="24"/>
        </w:rPr>
        <w:lastRenderedPageBreak/>
        <w:drawing>
          <wp:inline distT="0" distB="0" distL="0" distR="0" wp14:anchorId="433B6FAF">
            <wp:extent cx="2880000" cy="22435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3882" t="8670" r="10037" b="2255"/>
                    <a:stretch/>
                  </pic:blipFill>
                  <pic:spPr bwMode="auto">
                    <a:xfrm>
                      <a:off x="0" y="0"/>
                      <a:ext cx="2880000" cy="2243542"/>
                    </a:xfrm>
                    <a:prstGeom prst="rect">
                      <a:avLst/>
                    </a:prstGeom>
                    <a:noFill/>
                    <a:ln>
                      <a:noFill/>
                    </a:ln>
                    <a:extLst>
                      <a:ext uri="{53640926-AAD7-44D8-BBD7-CCE9431645EC}">
                        <a14:shadowObscured xmlns:a14="http://schemas.microsoft.com/office/drawing/2010/main"/>
                      </a:ext>
                    </a:extLst>
                  </pic:spPr>
                </pic:pic>
              </a:graphicData>
            </a:graphic>
          </wp:inline>
        </w:drawing>
      </w:r>
    </w:p>
    <w:p w:rsidR="0072413B" w:rsidRPr="002C6B67" w:rsidRDefault="0072413B" w:rsidP="00950B7A">
      <w:pPr>
        <w:spacing w:line="360" w:lineRule="auto"/>
        <w:rPr>
          <w:rFonts w:ascii="Times New Roman" w:hAnsi="Times New Roman" w:cs="Times New Roman"/>
          <w:sz w:val="24"/>
          <w:szCs w:val="24"/>
        </w:rPr>
      </w:pPr>
      <w:r w:rsidRPr="002C6B67">
        <w:rPr>
          <w:rFonts w:ascii="Times New Roman" w:hAnsi="Times New Roman" w:cs="Times New Roman"/>
          <w:b/>
          <w:sz w:val="24"/>
          <w:szCs w:val="24"/>
        </w:rPr>
        <w:t>Figure S</w:t>
      </w:r>
      <w:r w:rsidR="00666BA4">
        <w:rPr>
          <w:rFonts w:ascii="Times New Roman" w:hAnsi="Times New Roman" w:cs="Times New Roman"/>
          <w:b/>
          <w:sz w:val="24"/>
          <w:szCs w:val="24"/>
        </w:rPr>
        <w:t>8</w:t>
      </w:r>
      <w:r w:rsidRPr="002C6B67">
        <w:rPr>
          <w:rFonts w:ascii="Times New Roman" w:hAnsi="Times New Roman" w:cs="Times New Roman"/>
          <w:b/>
          <w:sz w:val="24"/>
          <w:szCs w:val="24"/>
        </w:rPr>
        <w:t>.</w:t>
      </w:r>
      <w:r w:rsidRPr="002C6B67">
        <w:rPr>
          <w:rFonts w:ascii="Times New Roman" w:hAnsi="Times New Roman" w:cs="Times New Roman"/>
          <w:sz w:val="24"/>
          <w:szCs w:val="24"/>
        </w:rPr>
        <w:t xml:space="preserve"> The Ragone plot of layered </w:t>
      </w:r>
      <w:r w:rsidR="00AB6B03" w:rsidRPr="002C6B67">
        <w:rPr>
          <w:rFonts w:ascii="Times New Roman" w:hAnsi="Times New Roman" w:cs="Times New Roman"/>
          <w:sz w:val="24"/>
          <w:szCs w:val="24"/>
        </w:rPr>
        <w:t xml:space="preserve">FeVO </w:t>
      </w:r>
      <w:r w:rsidRPr="002C6B67">
        <w:rPr>
          <w:rFonts w:ascii="Times New Roman" w:hAnsi="Times New Roman" w:cs="Times New Roman"/>
          <w:sz w:val="24"/>
          <w:szCs w:val="24"/>
        </w:rPr>
        <w:t>NSs and amorphous</w:t>
      </w:r>
      <w:r w:rsidR="00AB6B03" w:rsidRPr="002C6B67">
        <w:rPr>
          <w:rFonts w:ascii="Times New Roman" w:hAnsi="Times New Roman" w:cs="Times New Roman"/>
          <w:sz w:val="24"/>
          <w:szCs w:val="24"/>
        </w:rPr>
        <w:t xml:space="preserve"> FeVO</w:t>
      </w:r>
      <w:r w:rsidRPr="002C6B67">
        <w:rPr>
          <w:rFonts w:ascii="Times New Roman" w:hAnsi="Times New Roman" w:cs="Times New Roman"/>
          <w:sz w:val="24"/>
          <w:szCs w:val="24"/>
        </w:rPr>
        <w:t xml:space="preserve"> NPs for lithium storage. The value is calculated based on the mass of active cathode to show the promising application of the layered NSs for high energy and high power lithium storage</w:t>
      </w:r>
      <w:r w:rsidR="003D3E82" w:rsidRPr="002C6B67">
        <w:rPr>
          <w:rFonts w:ascii="Times New Roman" w:hAnsi="Times New Roman" w:cs="Times New Roman"/>
          <w:sz w:val="24"/>
          <w:szCs w:val="24"/>
        </w:rPr>
        <w:t xml:space="preserve"> application</w:t>
      </w:r>
      <w:r w:rsidRPr="002C6B67">
        <w:rPr>
          <w:rFonts w:ascii="Times New Roman" w:hAnsi="Times New Roman" w:cs="Times New Roman"/>
          <w:sz w:val="24"/>
          <w:szCs w:val="24"/>
        </w:rPr>
        <w:t xml:space="preserve">. </w:t>
      </w:r>
    </w:p>
    <w:p w:rsidR="002C6B67" w:rsidRPr="002C6B67" w:rsidRDefault="002C6B67" w:rsidP="002C6B67">
      <w:pPr>
        <w:pStyle w:val="TESupportingInformation"/>
        <w:spacing w:after="240" w:line="276" w:lineRule="auto"/>
        <w:ind w:firstLine="0"/>
        <w:rPr>
          <w:rFonts w:ascii="Times New Roman" w:hAnsi="Times New Roman"/>
          <w:szCs w:val="24"/>
        </w:rPr>
      </w:pPr>
      <w:r w:rsidRPr="002C6B67">
        <w:rPr>
          <w:rFonts w:ascii="Times New Roman" w:hAnsi="Times New Roman"/>
          <w:szCs w:val="24"/>
        </w:rPr>
        <w:t xml:space="preserve">The specific energy and power were calculated according to the Equations S1 and S2. </w:t>
      </w:r>
    </w:p>
    <w:p w:rsidR="002C6B67" w:rsidRPr="002C6B67" w:rsidRDefault="002C6B67" w:rsidP="002C6B67">
      <w:pPr>
        <w:pStyle w:val="TESupportingInformation"/>
        <w:spacing w:after="240" w:line="276" w:lineRule="auto"/>
        <w:jc w:val="right"/>
        <w:rPr>
          <w:rFonts w:ascii="Times New Roman" w:hAnsi="Times New Roman"/>
          <w:szCs w:val="24"/>
        </w:rPr>
      </w:pPr>
      <m:oMath>
        <m:r>
          <m:rPr>
            <m:sty m:val="p"/>
          </m:rPr>
          <w:rPr>
            <w:rFonts w:ascii="Cambria Math" w:hAnsi="Cambria Math"/>
            <w:szCs w:val="24"/>
          </w:rPr>
          <m:t xml:space="preserve">E= </m:t>
        </m:r>
        <m:nary>
          <m:naryPr>
            <m:limLoc m:val="subSup"/>
            <m:ctrlPr>
              <w:rPr>
                <w:rFonts w:ascii="Cambria Math" w:hAnsi="Cambria Math"/>
                <w:szCs w:val="24"/>
              </w:rPr>
            </m:ctrlPr>
          </m:naryPr>
          <m:sub>
            <m:r>
              <m:rPr>
                <m:sty m:val="p"/>
              </m:rPr>
              <w:rPr>
                <w:rFonts w:ascii="Cambria Math" w:hAnsi="Cambria Math"/>
                <w:szCs w:val="24"/>
              </w:rPr>
              <m:t>t1</m:t>
            </m:r>
          </m:sub>
          <m:sup>
            <m:r>
              <m:rPr>
                <m:sty m:val="p"/>
              </m:rPr>
              <w:rPr>
                <w:rFonts w:ascii="Cambria Math" w:hAnsi="Cambria Math"/>
                <w:szCs w:val="24"/>
              </w:rPr>
              <m:t>t2</m:t>
            </m:r>
          </m:sup>
          <m:e>
            <m:r>
              <m:rPr>
                <m:sty m:val="p"/>
              </m:rPr>
              <w:rPr>
                <w:rFonts w:ascii="Cambria Math" w:hAnsi="Cambria Math"/>
                <w:szCs w:val="24"/>
              </w:rPr>
              <m:t>IVdt</m:t>
            </m:r>
          </m:e>
        </m:nary>
        <m:r>
          <m:rPr>
            <m:sty m:val="p"/>
          </m:rPr>
          <w:rPr>
            <w:rFonts w:ascii="Cambria Math" w:hAnsi="Cambria Math"/>
            <w:szCs w:val="24"/>
          </w:rPr>
          <m:t xml:space="preserve">   </m:t>
        </m:r>
      </m:oMath>
      <w:r w:rsidRPr="002C6B67">
        <w:rPr>
          <w:rFonts w:ascii="Times New Roman" w:hAnsi="Times New Roman"/>
          <w:szCs w:val="24"/>
        </w:rPr>
        <w:t xml:space="preserve">                              (S1)</w:t>
      </w:r>
    </w:p>
    <w:p w:rsidR="002C6B67" w:rsidRPr="002C6B67" w:rsidRDefault="002C6B67" w:rsidP="002C6B67">
      <w:pPr>
        <w:pStyle w:val="TESupportingInformation"/>
        <w:spacing w:after="240" w:line="276" w:lineRule="auto"/>
        <w:jc w:val="right"/>
        <w:rPr>
          <w:rFonts w:ascii="Times New Roman" w:hAnsi="Times New Roman"/>
          <w:szCs w:val="24"/>
        </w:rPr>
      </w:pPr>
      <m:oMath>
        <m:r>
          <m:rPr>
            <m:sty m:val="p"/>
          </m:rPr>
          <w:rPr>
            <w:rFonts w:ascii="Cambria Math" w:hAnsi="Cambria Math"/>
            <w:szCs w:val="24"/>
          </w:rPr>
          <m:t xml:space="preserve">P= </m:t>
        </m:r>
        <m:f>
          <m:fPr>
            <m:ctrlPr>
              <w:rPr>
                <w:rFonts w:ascii="Cambria Math" w:hAnsi="Cambria Math"/>
                <w:szCs w:val="24"/>
              </w:rPr>
            </m:ctrlPr>
          </m:fPr>
          <m:num>
            <m:r>
              <m:rPr>
                <m:sty m:val="p"/>
              </m:rPr>
              <w:rPr>
                <w:rFonts w:ascii="Cambria Math" w:hAnsi="Cambria Math"/>
                <w:szCs w:val="24"/>
              </w:rPr>
              <m:t>E</m:t>
            </m:r>
          </m:num>
          <m:den>
            <m:r>
              <m:rPr>
                <m:sty m:val="p"/>
              </m:rPr>
              <w:rPr>
                <w:rFonts w:ascii="Cambria Math" w:hAnsi="Cambria Math"/>
                <w:szCs w:val="24"/>
              </w:rPr>
              <m:t>t</m:t>
            </m:r>
          </m:den>
        </m:f>
      </m:oMath>
      <w:r w:rsidRPr="002C6B67">
        <w:rPr>
          <w:rFonts w:ascii="Times New Roman" w:hAnsi="Times New Roman"/>
          <w:szCs w:val="24"/>
        </w:rPr>
        <w:t xml:space="preserve">                                  (S2)</w:t>
      </w:r>
    </w:p>
    <w:p w:rsidR="002C6B67" w:rsidRPr="002C6B67" w:rsidRDefault="002C6B67" w:rsidP="002C6B67">
      <w:pPr>
        <w:pStyle w:val="TESupportingInformation"/>
        <w:spacing w:after="240" w:line="276" w:lineRule="auto"/>
        <w:ind w:firstLine="0"/>
        <w:rPr>
          <w:rFonts w:ascii="Times New Roman" w:hAnsi="Times New Roman"/>
          <w:i/>
          <w:szCs w:val="24"/>
        </w:rPr>
      </w:pPr>
      <w:r w:rsidRPr="002C6B67">
        <w:rPr>
          <w:rFonts w:ascii="Times New Roman" w:hAnsi="Times New Roman"/>
          <w:szCs w:val="24"/>
        </w:rPr>
        <w:t>where I (A g</w:t>
      </w:r>
      <w:r w:rsidRPr="002C6B67">
        <w:rPr>
          <w:rFonts w:ascii="Times New Roman" w:hAnsi="Times New Roman"/>
          <w:szCs w:val="24"/>
          <w:vertAlign w:val="superscript"/>
        </w:rPr>
        <w:t>−1</w:t>
      </w:r>
      <w:r w:rsidRPr="002C6B67">
        <w:rPr>
          <w:rFonts w:ascii="Times New Roman" w:hAnsi="Times New Roman"/>
          <w:szCs w:val="24"/>
        </w:rPr>
        <w:t>) is the constant current density, V (V) is working voltage, and t is the time</w:t>
      </w:r>
      <w:r w:rsidRPr="002C6B67">
        <w:rPr>
          <w:rFonts w:ascii="Times New Roman" w:hAnsi="Times New Roman"/>
          <w:i/>
          <w:szCs w:val="24"/>
        </w:rPr>
        <w:t>.</w:t>
      </w:r>
    </w:p>
    <w:p w:rsidR="00D326A9" w:rsidRDefault="00D326A9">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72413B" w:rsidRPr="002C6B67" w:rsidRDefault="0072413B" w:rsidP="00950B7A">
      <w:pPr>
        <w:spacing w:line="360" w:lineRule="auto"/>
        <w:rPr>
          <w:rFonts w:ascii="Times New Roman" w:hAnsi="Times New Roman" w:cs="Times New Roman"/>
          <w:sz w:val="24"/>
          <w:szCs w:val="24"/>
        </w:rPr>
      </w:pPr>
    </w:p>
    <w:bookmarkEnd w:id="7"/>
    <w:p w:rsidR="000E12F3" w:rsidRPr="002C6B67" w:rsidRDefault="00103D39" w:rsidP="009B1E0D">
      <w:pPr>
        <w:spacing w:line="360" w:lineRule="auto"/>
        <w:jc w:val="center"/>
        <w:rPr>
          <w:rFonts w:ascii="Times New Roman" w:hAnsi="Times New Roman" w:cs="Times New Roman"/>
          <w:sz w:val="24"/>
          <w:szCs w:val="24"/>
        </w:rPr>
      </w:pPr>
      <w:r w:rsidRPr="002C6B67">
        <w:rPr>
          <w:rFonts w:ascii="Times New Roman" w:hAnsi="Times New Roman" w:cs="Times New Roman"/>
          <w:noProof/>
          <w:sz w:val="24"/>
          <w:szCs w:val="24"/>
        </w:rPr>
        <w:drawing>
          <wp:inline distT="0" distB="0" distL="0" distR="0" wp14:anchorId="38A95A70">
            <wp:extent cx="5148000" cy="220667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402"/>
                    <a:stretch/>
                  </pic:blipFill>
                  <pic:spPr bwMode="auto">
                    <a:xfrm>
                      <a:off x="0" y="0"/>
                      <a:ext cx="5148000" cy="2206672"/>
                    </a:xfrm>
                    <a:prstGeom prst="rect">
                      <a:avLst/>
                    </a:prstGeom>
                    <a:noFill/>
                    <a:ln>
                      <a:noFill/>
                    </a:ln>
                    <a:extLst>
                      <a:ext uri="{53640926-AAD7-44D8-BBD7-CCE9431645EC}">
                        <a14:shadowObscured xmlns:a14="http://schemas.microsoft.com/office/drawing/2010/main"/>
                      </a:ext>
                    </a:extLst>
                  </pic:spPr>
                </pic:pic>
              </a:graphicData>
            </a:graphic>
          </wp:inline>
        </w:drawing>
      </w:r>
    </w:p>
    <w:p w:rsidR="00472BFA" w:rsidRDefault="00472BFA" w:rsidP="00950B7A">
      <w:pPr>
        <w:spacing w:line="360" w:lineRule="auto"/>
        <w:rPr>
          <w:rFonts w:ascii="Times New Roman" w:hAnsi="Times New Roman" w:cs="Times New Roman"/>
          <w:sz w:val="24"/>
          <w:szCs w:val="24"/>
        </w:rPr>
      </w:pPr>
      <w:r w:rsidRPr="002C6B67">
        <w:rPr>
          <w:rFonts w:ascii="Times New Roman" w:hAnsi="Times New Roman" w:cs="Times New Roman"/>
          <w:b/>
          <w:sz w:val="24"/>
          <w:szCs w:val="24"/>
        </w:rPr>
        <w:t>Figure S</w:t>
      </w:r>
      <w:r w:rsidR="00666BA4">
        <w:rPr>
          <w:rFonts w:ascii="Times New Roman" w:hAnsi="Times New Roman" w:cs="Times New Roman"/>
          <w:b/>
          <w:sz w:val="24"/>
          <w:szCs w:val="24"/>
        </w:rPr>
        <w:t>9</w:t>
      </w:r>
      <w:r w:rsidRPr="002C6B67">
        <w:rPr>
          <w:rFonts w:ascii="Times New Roman" w:hAnsi="Times New Roman" w:cs="Times New Roman"/>
          <w:b/>
          <w:sz w:val="24"/>
          <w:szCs w:val="24"/>
        </w:rPr>
        <w:t>.</w:t>
      </w:r>
      <w:r w:rsidR="00CB23A2" w:rsidRPr="002C6B67">
        <w:rPr>
          <w:rFonts w:ascii="Times New Roman" w:hAnsi="Times New Roman" w:cs="Times New Roman"/>
          <w:sz w:val="24"/>
          <w:szCs w:val="24"/>
        </w:rPr>
        <w:t xml:space="preserve"> Area capacity </w:t>
      </w:r>
      <w:r w:rsidR="00CB23A2" w:rsidRPr="002C6B67">
        <w:rPr>
          <w:rFonts w:ascii="Times New Roman" w:hAnsi="Times New Roman" w:cs="Times New Roman"/>
          <w:i/>
          <w:iCs/>
          <w:sz w:val="24"/>
          <w:szCs w:val="24"/>
        </w:rPr>
        <w:t>vs.</w:t>
      </w:r>
      <w:r w:rsidR="00CB23A2" w:rsidRPr="002C6B67">
        <w:rPr>
          <w:rFonts w:ascii="Times New Roman" w:hAnsi="Times New Roman" w:cs="Times New Roman"/>
          <w:sz w:val="24"/>
          <w:szCs w:val="24"/>
        </w:rPr>
        <w:t xml:space="preserve"> area current plots (a) and times </w:t>
      </w:r>
      <w:r w:rsidR="00CB23A2" w:rsidRPr="000304CC">
        <w:rPr>
          <w:rFonts w:ascii="Times New Roman" w:hAnsi="Times New Roman" w:cs="Times New Roman"/>
          <w:i/>
          <w:sz w:val="24"/>
          <w:szCs w:val="24"/>
        </w:rPr>
        <w:t>vs</w:t>
      </w:r>
      <w:r w:rsidR="00CB23A2" w:rsidRPr="002C6B67">
        <w:rPr>
          <w:rFonts w:ascii="Times New Roman" w:hAnsi="Times New Roman" w:cs="Times New Roman"/>
          <w:sz w:val="24"/>
          <w:szCs w:val="24"/>
        </w:rPr>
        <w:t xml:space="preserve">. area capacity plots (b) of FeVO NSs </w:t>
      </w:r>
      <w:r w:rsidR="00817C2F" w:rsidRPr="002C6B67">
        <w:rPr>
          <w:rFonts w:ascii="Times New Roman" w:hAnsi="Times New Roman" w:cs="Times New Roman"/>
          <w:sz w:val="24"/>
          <w:szCs w:val="24"/>
        </w:rPr>
        <w:t>cathode with different mass loading</w:t>
      </w:r>
      <w:r w:rsidR="00CB23A2" w:rsidRPr="002C6B67">
        <w:rPr>
          <w:rFonts w:ascii="Times New Roman" w:hAnsi="Times New Roman" w:cs="Times New Roman"/>
          <w:sz w:val="24"/>
          <w:szCs w:val="24"/>
        </w:rPr>
        <w:t>.</w:t>
      </w:r>
    </w:p>
    <w:p w:rsidR="003D0D1F" w:rsidRDefault="003D0D1F" w:rsidP="00950B7A">
      <w:pPr>
        <w:spacing w:line="360" w:lineRule="auto"/>
        <w:rPr>
          <w:rFonts w:ascii="Times New Roman" w:hAnsi="Times New Roman" w:cs="Times New Roman"/>
          <w:sz w:val="24"/>
          <w:szCs w:val="24"/>
        </w:rPr>
      </w:pPr>
    </w:p>
    <w:p w:rsidR="00BD462C" w:rsidRDefault="00BD462C" w:rsidP="00950B7A">
      <w:pPr>
        <w:spacing w:line="360" w:lineRule="auto"/>
        <w:rPr>
          <w:rFonts w:ascii="Times New Roman" w:hAnsi="Times New Roman" w:cs="Times New Roman"/>
          <w:sz w:val="24"/>
          <w:szCs w:val="24"/>
        </w:rPr>
      </w:pPr>
    </w:p>
    <w:p w:rsidR="00CF7B47" w:rsidRDefault="00BD462C" w:rsidP="00950B7A">
      <w:pPr>
        <w:spacing w:line="360" w:lineRule="auto"/>
        <w:rPr>
          <w:rFonts w:ascii="Times New Roman" w:hAnsi="Times New Roman" w:cs="Times New Roman"/>
          <w:b/>
          <w:sz w:val="24"/>
          <w:szCs w:val="24"/>
        </w:rPr>
      </w:pPr>
      <w:r w:rsidRPr="00CF7B47">
        <w:rPr>
          <w:rFonts w:ascii="Times New Roman" w:hAnsi="Times New Roman" w:cs="Times New Roman" w:hint="eastAsia"/>
          <w:b/>
          <w:sz w:val="24"/>
          <w:szCs w:val="24"/>
        </w:rPr>
        <w:t>R</w:t>
      </w:r>
      <w:r w:rsidRPr="00CF7B47">
        <w:rPr>
          <w:rFonts w:ascii="Times New Roman" w:hAnsi="Times New Roman" w:cs="Times New Roman"/>
          <w:b/>
          <w:sz w:val="24"/>
          <w:szCs w:val="24"/>
        </w:rPr>
        <w:t>eference</w:t>
      </w:r>
    </w:p>
    <w:p w:rsidR="00B7126D" w:rsidRPr="00B7126D" w:rsidRDefault="00765C5A" w:rsidP="00950B7A">
      <w:pPr>
        <w:spacing w:line="360" w:lineRule="auto"/>
        <w:rPr>
          <w:rFonts w:ascii="Times New Roman" w:hAnsi="Times New Roman" w:cs="Times New Roman"/>
          <w:sz w:val="24"/>
          <w:szCs w:val="24"/>
        </w:rPr>
      </w:pPr>
      <w:r>
        <w:rPr>
          <w:rFonts w:ascii="Times New Roman" w:hAnsi="Times New Roman" w:cs="Times New Roman"/>
          <w:sz w:val="24"/>
          <w:szCs w:val="24"/>
        </w:rPr>
        <w:t>[</w:t>
      </w:r>
      <w:r w:rsidR="00CF7B47">
        <w:rPr>
          <w:rFonts w:ascii="Times New Roman" w:hAnsi="Times New Roman" w:cs="Times New Roman"/>
          <w:sz w:val="24"/>
          <w:szCs w:val="24"/>
        </w:rPr>
        <w:t>S</w:t>
      </w:r>
      <w:r w:rsidR="0037219D" w:rsidRPr="00B7126D">
        <w:rPr>
          <w:rFonts w:ascii="Times New Roman" w:hAnsi="Times New Roman" w:cs="Times New Roman"/>
          <w:sz w:val="24"/>
          <w:szCs w:val="24"/>
        </w:rPr>
        <w:t>1</w:t>
      </w:r>
      <w:r>
        <w:rPr>
          <w:rFonts w:ascii="Times New Roman" w:hAnsi="Times New Roman" w:cs="Times New Roman"/>
          <w:sz w:val="24"/>
          <w:szCs w:val="24"/>
        </w:rPr>
        <w:t>]</w:t>
      </w:r>
      <w:r w:rsidR="00B7126D" w:rsidRPr="00B7126D">
        <w:rPr>
          <w:rFonts w:ascii="Times New Roman" w:hAnsi="Times New Roman" w:cs="Times New Roman"/>
          <w:sz w:val="24"/>
          <w:szCs w:val="24"/>
        </w:rPr>
        <w:t xml:space="preserve"> Q. Wei, Z. Jiang, S. Tan, Q. Li, L. Huang, M. Yan, L. Zhou, Q. An, L. Mai, ACS Appl. Mater. Interfaces, 7 (2015) 18211-18217.</w:t>
      </w:r>
    </w:p>
    <w:p w:rsidR="00BD462C" w:rsidRPr="00B7126D" w:rsidRDefault="00765C5A" w:rsidP="00950B7A">
      <w:pPr>
        <w:spacing w:line="360" w:lineRule="auto"/>
        <w:rPr>
          <w:rFonts w:ascii="Times New Roman" w:hAnsi="Times New Roman" w:cs="Times New Roman"/>
          <w:sz w:val="24"/>
          <w:szCs w:val="24"/>
        </w:rPr>
      </w:pPr>
      <w:r>
        <w:rPr>
          <w:rFonts w:ascii="Times New Roman" w:hAnsi="Times New Roman" w:cs="Times New Roman"/>
          <w:sz w:val="24"/>
          <w:szCs w:val="24"/>
        </w:rPr>
        <w:t>[</w:t>
      </w:r>
      <w:r w:rsidR="00BD462C" w:rsidRPr="00B7126D">
        <w:rPr>
          <w:rFonts w:ascii="Times New Roman" w:hAnsi="Times New Roman" w:cs="Times New Roman"/>
          <w:sz w:val="24"/>
          <w:szCs w:val="24"/>
        </w:rPr>
        <w:t>S</w:t>
      </w:r>
      <w:r w:rsidR="0037219D" w:rsidRPr="00B7126D">
        <w:rPr>
          <w:rFonts w:ascii="Times New Roman" w:hAnsi="Times New Roman" w:cs="Times New Roman"/>
          <w:sz w:val="24"/>
          <w:szCs w:val="24"/>
        </w:rPr>
        <w:t>2</w:t>
      </w:r>
      <w:r>
        <w:rPr>
          <w:rFonts w:ascii="Times New Roman" w:hAnsi="Times New Roman" w:cs="Times New Roman"/>
          <w:sz w:val="24"/>
          <w:szCs w:val="24"/>
        </w:rPr>
        <w:t>]</w:t>
      </w:r>
      <w:r w:rsidR="00BD462C" w:rsidRPr="00B7126D">
        <w:rPr>
          <w:rFonts w:ascii="Times New Roman" w:hAnsi="Times New Roman" w:cs="Times New Roman"/>
          <w:sz w:val="24"/>
          <w:szCs w:val="24"/>
        </w:rPr>
        <w:t xml:space="preserve"> </w:t>
      </w:r>
      <w:r w:rsidR="006B41DC" w:rsidRPr="00B7126D">
        <w:rPr>
          <w:rFonts w:ascii="Times New Roman" w:hAnsi="Times New Roman" w:cs="Times New Roman"/>
          <w:sz w:val="24"/>
          <w:szCs w:val="24"/>
        </w:rPr>
        <w:t>D.</w:t>
      </w:r>
      <w:r w:rsidR="00887C1C" w:rsidRPr="00B7126D">
        <w:rPr>
          <w:rFonts w:ascii="Times New Roman" w:hAnsi="Times New Roman" w:cs="Times New Roman"/>
          <w:sz w:val="24"/>
          <w:szCs w:val="24"/>
        </w:rPr>
        <w:t xml:space="preserve"> </w:t>
      </w:r>
      <w:r w:rsidR="006B41DC" w:rsidRPr="00B7126D">
        <w:rPr>
          <w:rFonts w:ascii="Times New Roman" w:hAnsi="Times New Roman" w:cs="Times New Roman"/>
          <w:sz w:val="24"/>
          <w:szCs w:val="24"/>
        </w:rPr>
        <w:t>Wilson</w:t>
      </w:r>
      <w:r w:rsidR="00887C1C" w:rsidRPr="00B7126D">
        <w:rPr>
          <w:rFonts w:ascii="Times New Roman" w:hAnsi="Times New Roman" w:cs="Times New Roman"/>
          <w:sz w:val="24"/>
          <w:szCs w:val="24"/>
        </w:rPr>
        <w:t xml:space="preserve">, </w:t>
      </w:r>
      <w:r w:rsidR="006B41DC" w:rsidRPr="00B7126D">
        <w:rPr>
          <w:rFonts w:ascii="Times New Roman" w:hAnsi="Times New Roman" w:cs="Times New Roman"/>
          <w:sz w:val="24"/>
          <w:szCs w:val="24"/>
        </w:rPr>
        <w:t>M.A.Lange</w:t>
      </w:r>
      <w:r w:rsidR="00887C1C" w:rsidRPr="00B7126D">
        <w:rPr>
          <w:rFonts w:ascii="Times New Roman" w:hAnsi="Times New Roman" w:cs="Times New Roman"/>
          <w:sz w:val="24"/>
          <w:szCs w:val="24"/>
        </w:rPr>
        <w:t>ll, Applied Surface Sci., 303 (2014) 6-13.</w:t>
      </w:r>
    </w:p>
    <w:p w:rsidR="0021209D" w:rsidRPr="0021209D" w:rsidRDefault="00765C5A" w:rsidP="0021209D">
      <w:pPr>
        <w:spacing w:line="360" w:lineRule="auto"/>
        <w:rPr>
          <w:rFonts w:ascii="Times New Roman" w:hAnsi="Times New Roman" w:cs="Times New Roman"/>
          <w:sz w:val="24"/>
          <w:szCs w:val="24"/>
        </w:rPr>
      </w:pPr>
      <w:r>
        <w:rPr>
          <w:rFonts w:ascii="Times New Roman" w:hAnsi="Times New Roman" w:cs="Times New Roman"/>
          <w:sz w:val="24"/>
          <w:szCs w:val="24"/>
        </w:rPr>
        <w:t>[</w:t>
      </w:r>
      <w:r w:rsidR="0021209D" w:rsidRPr="00B7126D">
        <w:rPr>
          <w:rFonts w:ascii="Times New Roman" w:hAnsi="Times New Roman" w:cs="Times New Roman"/>
          <w:sz w:val="24"/>
          <w:szCs w:val="24"/>
        </w:rPr>
        <w:t>S</w:t>
      </w:r>
      <w:r w:rsidR="0037219D" w:rsidRPr="00B7126D">
        <w:rPr>
          <w:rFonts w:ascii="Times New Roman" w:hAnsi="Times New Roman" w:cs="Times New Roman"/>
          <w:sz w:val="24"/>
          <w:szCs w:val="24"/>
        </w:rPr>
        <w:t>3</w:t>
      </w:r>
      <w:r>
        <w:rPr>
          <w:rFonts w:ascii="Times New Roman" w:hAnsi="Times New Roman" w:cs="Times New Roman"/>
          <w:sz w:val="24"/>
          <w:szCs w:val="24"/>
        </w:rPr>
        <w:t>]</w:t>
      </w:r>
      <w:r w:rsidR="0021209D" w:rsidRPr="00B7126D">
        <w:rPr>
          <w:rFonts w:ascii="Times New Roman" w:hAnsi="Times New Roman" w:cs="Times New Roman"/>
          <w:sz w:val="24"/>
          <w:szCs w:val="24"/>
        </w:rPr>
        <w:t xml:space="preserve"> Q. Li, Q. Wei, W. Zuo, L. Huang, W. Luo, Q. An, V. O. Pelenovich, L. Mai, Q.</w:t>
      </w:r>
      <w:r w:rsidR="0021209D">
        <w:rPr>
          <w:rFonts w:ascii="Times New Roman" w:hAnsi="Times New Roman" w:cs="Times New Roman"/>
          <w:sz w:val="24"/>
          <w:szCs w:val="24"/>
        </w:rPr>
        <w:t xml:space="preserve"> Zhang,</w:t>
      </w:r>
      <w:r w:rsidR="0021209D" w:rsidRPr="0021209D">
        <w:rPr>
          <w:rFonts w:ascii="Times New Roman" w:hAnsi="Times New Roman" w:cs="Times New Roman"/>
          <w:sz w:val="24"/>
          <w:szCs w:val="24"/>
        </w:rPr>
        <w:t xml:space="preserve"> </w:t>
      </w:r>
      <w:r w:rsidR="0021209D" w:rsidRPr="0021209D">
        <w:rPr>
          <w:rFonts w:ascii="Times New Roman" w:hAnsi="Times New Roman" w:cs="Times New Roman"/>
          <w:i/>
          <w:iCs/>
          <w:sz w:val="24"/>
          <w:szCs w:val="24"/>
        </w:rPr>
        <w:t>Chem</w:t>
      </w:r>
      <w:r w:rsidR="0021209D">
        <w:rPr>
          <w:rFonts w:ascii="Times New Roman" w:hAnsi="Times New Roman" w:cs="Times New Roman"/>
          <w:i/>
          <w:iCs/>
          <w:sz w:val="24"/>
          <w:szCs w:val="24"/>
        </w:rPr>
        <w:t>.</w:t>
      </w:r>
      <w:r w:rsidR="0021209D" w:rsidRPr="0021209D">
        <w:rPr>
          <w:rFonts w:ascii="Times New Roman" w:hAnsi="Times New Roman" w:cs="Times New Roman"/>
          <w:i/>
          <w:iCs/>
          <w:sz w:val="24"/>
          <w:szCs w:val="24"/>
        </w:rPr>
        <w:t xml:space="preserve"> Sci</w:t>
      </w:r>
      <w:r w:rsidR="0021209D">
        <w:rPr>
          <w:rFonts w:ascii="Times New Roman" w:hAnsi="Times New Roman" w:cs="Times New Roman"/>
          <w:i/>
          <w:iCs/>
          <w:sz w:val="24"/>
          <w:szCs w:val="24"/>
        </w:rPr>
        <w:t>.</w:t>
      </w:r>
      <w:r w:rsidR="0021209D" w:rsidRPr="0021209D">
        <w:rPr>
          <w:rFonts w:ascii="Times New Roman" w:hAnsi="Times New Roman" w:cs="Times New Roman"/>
          <w:i/>
          <w:iCs/>
          <w:sz w:val="24"/>
          <w:szCs w:val="24"/>
        </w:rPr>
        <w:t xml:space="preserve"> </w:t>
      </w:r>
      <w:r w:rsidR="0021209D">
        <w:rPr>
          <w:rFonts w:ascii="Times New Roman" w:hAnsi="Times New Roman" w:cs="Times New Roman"/>
          <w:iCs/>
          <w:sz w:val="24"/>
          <w:szCs w:val="24"/>
        </w:rPr>
        <w:t xml:space="preserve">8 (2017) </w:t>
      </w:r>
      <w:r w:rsidR="0021209D" w:rsidRPr="0021209D">
        <w:rPr>
          <w:rFonts w:ascii="Times New Roman" w:hAnsi="Times New Roman" w:cs="Times New Roman"/>
          <w:sz w:val="24"/>
          <w:szCs w:val="24"/>
        </w:rPr>
        <w:t>160-164.</w:t>
      </w:r>
    </w:p>
    <w:p w:rsidR="00887C1C" w:rsidRPr="005400DD" w:rsidRDefault="00887C1C" w:rsidP="00950B7A">
      <w:pPr>
        <w:spacing w:line="360" w:lineRule="auto"/>
        <w:rPr>
          <w:rFonts w:ascii="Times New Roman" w:hAnsi="Times New Roman" w:cs="Times New Roman"/>
          <w:sz w:val="24"/>
          <w:szCs w:val="24"/>
        </w:rPr>
      </w:pPr>
    </w:p>
    <w:p w:rsidR="003D0D1F" w:rsidRDefault="003D0D1F" w:rsidP="00950B7A">
      <w:pPr>
        <w:spacing w:line="360" w:lineRule="auto"/>
        <w:rPr>
          <w:rFonts w:ascii="Times New Roman" w:hAnsi="Times New Roman" w:cs="Times New Roman"/>
          <w:sz w:val="24"/>
          <w:szCs w:val="24"/>
        </w:rPr>
      </w:pPr>
    </w:p>
    <w:p w:rsidR="003D0D1F" w:rsidRPr="002C6B67" w:rsidRDefault="00027832" w:rsidP="00950B7A">
      <w:pPr>
        <w:spacing w:line="360" w:lineRule="auto"/>
        <w:rPr>
          <w:rFonts w:ascii="Times New Roman" w:hAnsi="Times New Roman" w:cs="Times New Roman"/>
          <w:sz w:val="24"/>
          <w:szCs w:val="24"/>
        </w:rPr>
      </w:pPr>
      <w:r>
        <w:rPr>
          <w:rFonts w:ascii="Times New Roman" w:hAnsi="Times New Roman" w:cs="Times New Roman"/>
          <w:sz w:val="24"/>
          <w:szCs w:val="24"/>
        </w:rPr>
        <w:tab/>
      </w:r>
    </w:p>
    <w:sectPr w:rsidR="003D0D1F" w:rsidRPr="002C6B67" w:rsidSect="00980C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31A" w:rsidRDefault="00B8531A" w:rsidP="00EC5E23">
      <w:r>
        <w:separator/>
      </w:r>
    </w:p>
  </w:endnote>
  <w:endnote w:type="continuationSeparator" w:id="0">
    <w:p w:rsidR="00B8531A" w:rsidRDefault="00B8531A" w:rsidP="00EC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w:altName w:val="CG Times"/>
    <w:panose1 w:val="02020603050405020304"/>
    <w:charset w:val="00"/>
    <w:family w:val="roman"/>
    <w:pitch w:val="variable"/>
    <w:sig w:usb0="E0002AFF" w:usb1="C0007841"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31A" w:rsidRDefault="00B8531A" w:rsidP="00EC5E23">
      <w:r>
        <w:separator/>
      </w:r>
    </w:p>
  </w:footnote>
  <w:footnote w:type="continuationSeparator" w:id="0">
    <w:p w:rsidR="00B8531A" w:rsidRDefault="00B8531A" w:rsidP="00EC5E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1FE"/>
    <w:rsid w:val="00003801"/>
    <w:rsid w:val="00027832"/>
    <w:rsid w:val="000304CC"/>
    <w:rsid w:val="000534E9"/>
    <w:rsid w:val="00057C4B"/>
    <w:rsid w:val="0006647B"/>
    <w:rsid w:val="00073E5D"/>
    <w:rsid w:val="00096157"/>
    <w:rsid w:val="000E12F3"/>
    <w:rsid w:val="000F5ABC"/>
    <w:rsid w:val="00103D39"/>
    <w:rsid w:val="00145B99"/>
    <w:rsid w:val="001D107A"/>
    <w:rsid w:val="001E0EBB"/>
    <w:rsid w:val="00212023"/>
    <w:rsid w:val="0021209D"/>
    <w:rsid w:val="00215D58"/>
    <w:rsid w:val="00270FFD"/>
    <w:rsid w:val="002805BA"/>
    <w:rsid w:val="0029574A"/>
    <w:rsid w:val="002A1476"/>
    <w:rsid w:val="002A3641"/>
    <w:rsid w:val="002C6B67"/>
    <w:rsid w:val="002E1287"/>
    <w:rsid w:val="003206F7"/>
    <w:rsid w:val="00347718"/>
    <w:rsid w:val="0037219D"/>
    <w:rsid w:val="003A6538"/>
    <w:rsid w:val="003D0D1F"/>
    <w:rsid w:val="003D3E82"/>
    <w:rsid w:val="0044460E"/>
    <w:rsid w:val="00472BFA"/>
    <w:rsid w:val="00493C76"/>
    <w:rsid w:val="004A4162"/>
    <w:rsid w:val="004C706D"/>
    <w:rsid w:val="004D03F6"/>
    <w:rsid w:val="004D1696"/>
    <w:rsid w:val="004D17DD"/>
    <w:rsid w:val="004E386C"/>
    <w:rsid w:val="00516704"/>
    <w:rsid w:val="00532FD6"/>
    <w:rsid w:val="00533BCD"/>
    <w:rsid w:val="005400DD"/>
    <w:rsid w:val="00580268"/>
    <w:rsid w:val="005A06BF"/>
    <w:rsid w:val="005C3A74"/>
    <w:rsid w:val="00602D2C"/>
    <w:rsid w:val="00605AA5"/>
    <w:rsid w:val="00615941"/>
    <w:rsid w:val="0063042C"/>
    <w:rsid w:val="00666BA4"/>
    <w:rsid w:val="006B41DC"/>
    <w:rsid w:val="006F672D"/>
    <w:rsid w:val="0072298C"/>
    <w:rsid w:val="00723311"/>
    <w:rsid w:val="0072413B"/>
    <w:rsid w:val="00725893"/>
    <w:rsid w:val="00731C53"/>
    <w:rsid w:val="0076184D"/>
    <w:rsid w:val="00765C5A"/>
    <w:rsid w:val="00783FB6"/>
    <w:rsid w:val="007C7129"/>
    <w:rsid w:val="00807A8B"/>
    <w:rsid w:val="0081633B"/>
    <w:rsid w:val="00817C2F"/>
    <w:rsid w:val="00835F32"/>
    <w:rsid w:val="00874C87"/>
    <w:rsid w:val="00887C1C"/>
    <w:rsid w:val="008B2A57"/>
    <w:rsid w:val="008D16CE"/>
    <w:rsid w:val="008D68B6"/>
    <w:rsid w:val="008F254A"/>
    <w:rsid w:val="00900829"/>
    <w:rsid w:val="00924CE1"/>
    <w:rsid w:val="00950B7A"/>
    <w:rsid w:val="00956B13"/>
    <w:rsid w:val="0097301D"/>
    <w:rsid w:val="00980CFC"/>
    <w:rsid w:val="00981947"/>
    <w:rsid w:val="009A3BCB"/>
    <w:rsid w:val="009A4424"/>
    <w:rsid w:val="009B1E0D"/>
    <w:rsid w:val="009F61FE"/>
    <w:rsid w:val="00A01DE0"/>
    <w:rsid w:val="00A10338"/>
    <w:rsid w:val="00A567BA"/>
    <w:rsid w:val="00AB1C6C"/>
    <w:rsid w:val="00AB6B03"/>
    <w:rsid w:val="00AD1723"/>
    <w:rsid w:val="00AD7419"/>
    <w:rsid w:val="00AF4702"/>
    <w:rsid w:val="00AF69C9"/>
    <w:rsid w:val="00AF73C8"/>
    <w:rsid w:val="00B373A7"/>
    <w:rsid w:val="00B63101"/>
    <w:rsid w:val="00B6463C"/>
    <w:rsid w:val="00B7126D"/>
    <w:rsid w:val="00B8531A"/>
    <w:rsid w:val="00B87ADD"/>
    <w:rsid w:val="00B93F67"/>
    <w:rsid w:val="00BC37FD"/>
    <w:rsid w:val="00BD462C"/>
    <w:rsid w:val="00C01014"/>
    <w:rsid w:val="00C03290"/>
    <w:rsid w:val="00C578C1"/>
    <w:rsid w:val="00C64B6E"/>
    <w:rsid w:val="00C74D38"/>
    <w:rsid w:val="00C77E5C"/>
    <w:rsid w:val="00C876A8"/>
    <w:rsid w:val="00CB23A2"/>
    <w:rsid w:val="00CC2A0E"/>
    <w:rsid w:val="00CE4BCA"/>
    <w:rsid w:val="00CF0C09"/>
    <w:rsid w:val="00CF298F"/>
    <w:rsid w:val="00CF7B47"/>
    <w:rsid w:val="00D326A9"/>
    <w:rsid w:val="00D447E9"/>
    <w:rsid w:val="00D4632C"/>
    <w:rsid w:val="00D55939"/>
    <w:rsid w:val="00DC02C4"/>
    <w:rsid w:val="00DD304A"/>
    <w:rsid w:val="00DD529D"/>
    <w:rsid w:val="00DF0C92"/>
    <w:rsid w:val="00DF7B43"/>
    <w:rsid w:val="00E135E4"/>
    <w:rsid w:val="00E1426D"/>
    <w:rsid w:val="00E4363A"/>
    <w:rsid w:val="00E57A9A"/>
    <w:rsid w:val="00E93E13"/>
    <w:rsid w:val="00EA63C1"/>
    <w:rsid w:val="00EC452F"/>
    <w:rsid w:val="00EC5E23"/>
    <w:rsid w:val="00EE47ED"/>
    <w:rsid w:val="00EE4B20"/>
    <w:rsid w:val="00F52AB7"/>
    <w:rsid w:val="00F53447"/>
    <w:rsid w:val="00F82A72"/>
    <w:rsid w:val="00FB0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10F6B"/>
  <w15:docId w15:val="{C72D3A9E-E537-4647-8045-7F37DC2C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326A9"/>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887C1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9F61FE"/>
    <w:rPr>
      <w:rFonts w:ascii="Times New Roman" w:eastAsia="SimSun" w:hAnsi="Times New Roman" w:cs="Times New Roman"/>
      <w:noProof/>
      <w:sz w:val="24"/>
    </w:rPr>
  </w:style>
  <w:style w:type="character" w:customStyle="1" w:styleId="EndNoteBibliographyChar">
    <w:name w:val="EndNote Bibliography Char"/>
    <w:link w:val="EndNoteBibliography"/>
    <w:rsid w:val="009F61FE"/>
    <w:rPr>
      <w:rFonts w:ascii="Times New Roman" w:eastAsia="SimSun" w:hAnsi="Times New Roman" w:cs="Times New Roman"/>
      <w:noProof/>
      <w:sz w:val="24"/>
    </w:rPr>
  </w:style>
  <w:style w:type="paragraph" w:customStyle="1" w:styleId="TESupportingInformation">
    <w:name w:val="TE_Supporting_Information"/>
    <w:basedOn w:val="a"/>
    <w:next w:val="a"/>
    <w:rsid w:val="009F61FE"/>
    <w:pPr>
      <w:widowControl/>
      <w:spacing w:after="200" w:line="480" w:lineRule="auto"/>
      <w:ind w:firstLine="187"/>
    </w:pPr>
    <w:rPr>
      <w:rFonts w:ascii="Times" w:hAnsi="Times" w:cs="Times New Roman"/>
      <w:kern w:val="0"/>
      <w:sz w:val="24"/>
      <w:szCs w:val="20"/>
      <w:lang w:eastAsia="en-US"/>
    </w:rPr>
  </w:style>
  <w:style w:type="paragraph" w:customStyle="1" w:styleId="BCAuthorAddress">
    <w:name w:val="BC_Author_Address"/>
    <w:basedOn w:val="a"/>
    <w:next w:val="a"/>
    <w:rsid w:val="009F61FE"/>
    <w:pPr>
      <w:widowControl/>
      <w:spacing w:after="240" w:line="480" w:lineRule="auto"/>
      <w:jc w:val="center"/>
    </w:pPr>
    <w:rPr>
      <w:rFonts w:ascii="Times" w:hAnsi="Times" w:cs="Times New Roman"/>
      <w:kern w:val="0"/>
      <w:sz w:val="24"/>
      <w:szCs w:val="20"/>
      <w:lang w:eastAsia="en-US"/>
    </w:rPr>
  </w:style>
  <w:style w:type="paragraph" w:customStyle="1" w:styleId="FACorrespondingAuthorFootnote">
    <w:name w:val="FA_Corresponding_Author_Footnote"/>
    <w:basedOn w:val="a"/>
    <w:next w:val="a"/>
    <w:rsid w:val="009F61FE"/>
    <w:pPr>
      <w:widowControl/>
      <w:spacing w:after="200" w:line="480" w:lineRule="auto"/>
    </w:pPr>
    <w:rPr>
      <w:rFonts w:ascii="Times" w:hAnsi="Times" w:cs="Times New Roman"/>
      <w:kern w:val="0"/>
      <w:sz w:val="24"/>
      <w:szCs w:val="20"/>
      <w:lang w:eastAsia="en-US"/>
    </w:rPr>
  </w:style>
  <w:style w:type="paragraph" w:customStyle="1" w:styleId="Addresses">
    <w:name w:val="Addresses"/>
    <w:basedOn w:val="a"/>
    <w:rsid w:val="009F61FE"/>
    <w:pPr>
      <w:widowControl/>
      <w:jc w:val="left"/>
    </w:pPr>
    <w:rPr>
      <w:rFonts w:ascii="Times New Roman" w:eastAsia="MS Mincho" w:hAnsi="Times New Roman" w:cs="Times New Roman"/>
      <w:kern w:val="0"/>
      <w:sz w:val="24"/>
      <w:szCs w:val="24"/>
      <w:lang w:eastAsia="ja-JP"/>
    </w:rPr>
  </w:style>
  <w:style w:type="paragraph" w:styleId="a3">
    <w:name w:val="Balloon Text"/>
    <w:basedOn w:val="a"/>
    <w:link w:val="a4"/>
    <w:uiPriority w:val="99"/>
    <w:semiHidden/>
    <w:unhideWhenUsed/>
    <w:rsid w:val="004D03F6"/>
    <w:rPr>
      <w:sz w:val="18"/>
      <w:szCs w:val="18"/>
    </w:rPr>
  </w:style>
  <w:style w:type="character" w:customStyle="1" w:styleId="a4">
    <w:name w:val="批注框文本 字符"/>
    <w:basedOn w:val="a0"/>
    <w:link w:val="a3"/>
    <w:uiPriority w:val="99"/>
    <w:semiHidden/>
    <w:rsid w:val="004D03F6"/>
    <w:rPr>
      <w:sz w:val="18"/>
      <w:szCs w:val="18"/>
    </w:rPr>
  </w:style>
  <w:style w:type="paragraph" w:styleId="a5">
    <w:name w:val="header"/>
    <w:basedOn w:val="a"/>
    <w:link w:val="a6"/>
    <w:uiPriority w:val="99"/>
    <w:unhideWhenUsed/>
    <w:rsid w:val="00EC5E2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C5E23"/>
    <w:rPr>
      <w:sz w:val="18"/>
      <w:szCs w:val="18"/>
    </w:rPr>
  </w:style>
  <w:style w:type="paragraph" w:styleId="a7">
    <w:name w:val="footer"/>
    <w:basedOn w:val="a"/>
    <w:link w:val="a8"/>
    <w:uiPriority w:val="99"/>
    <w:unhideWhenUsed/>
    <w:rsid w:val="00EC5E23"/>
    <w:pPr>
      <w:tabs>
        <w:tab w:val="center" w:pos="4153"/>
        <w:tab w:val="right" w:pos="8306"/>
      </w:tabs>
      <w:snapToGrid w:val="0"/>
      <w:jc w:val="left"/>
    </w:pPr>
    <w:rPr>
      <w:sz w:val="18"/>
      <w:szCs w:val="18"/>
    </w:rPr>
  </w:style>
  <w:style w:type="character" w:customStyle="1" w:styleId="a8">
    <w:name w:val="页脚 字符"/>
    <w:basedOn w:val="a0"/>
    <w:link w:val="a7"/>
    <w:uiPriority w:val="99"/>
    <w:rsid w:val="00EC5E23"/>
    <w:rPr>
      <w:sz w:val="18"/>
      <w:szCs w:val="18"/>
    </w:rPr>
  </w:style>
  <w:style w:type="paragraph" w:customStyle="1" w:styleId="H1">
    <w:name w:val="H1"/>
    <w:basedOn w:val="1"/>
    <w:qFormat/>
    <w:rsid w:val="00D326A9"/>
    <w:pPr>
      <w:keepNext w:val="0"/>
      <w:keepLines w:val="0"/>
      <w:widowControl/>
      <w:spacing w:before="460" w:after="230" w:line="230" w:lineRule="atLeast"/>
      <w:jc w:val="left"/>
    </w:pPr>
    <w:rPr>
      <w:rFonts w:ascii="Arial" w:eastAsia="MS Mincho" w:hAnsi="Arial" w:cs="Times New Roman"/>
      <w:bCs w:val="0"/>
      <w:kern w:val="0"/>
      <w:sz w:val="22"/>
      <w:szCs w:val="20"/>
      <w:lang w:eastAsia="ja-JP"/>
    </w:rPr>
  </w:style>
  <w:style w:type="character" w:customStyle="1" w:styleId="10">
    <w:name w:val="标题 1 字符"/>
    <w:basedOn w:val="a0"/>
    <w:link w:val="1"/>
    <w:uiPriority w:val="9"/>
    <w:rsid w:val="00D326A9"/>
    <w:rPr>
      <w:b/>
      <w:bCs/>
      <w:kern w:val="44"/>
      <w:sz w:val="44"/>
      <w:szCs w:val="44"/>
    </w:rPr>
  </w:style>
  <w:style w:type="table" w:styleId="a9">
    <w:name w:val="Table Grid"/>
    <w:basedOn w:val="a1"/>
    <w:uiPriority w:val="39"/>
    <w:rsid w:val="003D0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E135E4"/>
    <w:rPr>
      <w:sz w:val="21"/>
      <w:szCs w:val="21"/>
    </w:rPr>
  </w:style>
  <w:style w:type="paragraph" w:styleId="ab">
    <w:name w:val="annotation text"/>
    <w:basedOn w:val="a"/>
    <w:link w:val="ac"/>
    <w:uiPriority w:val="99"/>
    <w:semiHidden/>
    <w:unhideWhenUsed/>
    <w:rsid w:val="00E135E4"/>
    <w:pPr>
      <w:jc w:val="left"/>
    </w:pPr>
  </w:style>
  <w:style w:type="character" w:customStyle="1" w:styleId="ac">
    <w:name w:val="批注文字 字符"/>
    <w:basedOn w:val="a0"/>
    <w:link w:val="ab"/>
    <w:uiPriority w:val="99"/>
    <w:semiHidden/>
    <w:rsid w:val="00E135E4"/>
  </w:style>
  <w:style w:type="paragraph" w:styleId="ad">
    <w:name w:val="annotation subject"/>
    <w:basedOn w:val="ab"/>
    <w:next w:val="ab"/>
    <w:link w:val="ae"/>
    <w:uiPriority w:val="99"/>
    <w:semiHidden/>
    <w:unhideWhenUsed/>
    <w:rsid w:val="00E135E4"/>
    <w:rPr>
      <w:b/>
      <w:bCs/>
    </w:rPr>
  </w:style>
  <w:style w:type="character" w:customStyle="1" w:styleId="ae">
    <w:name w:val="批注主题 字符"/>
    <w:basedOn w:val="ac"/>
    <w:link w:val="ad"/>
    <w:uiPriority w:val="99"/>
    <w:semiHidden/>
    <w:rsid w:val="00E135E4"/>
    <w:rPr>
      <w:b/>
      <w:bCs/>
    </w:rPr>
  </w:style>
  <w:style w:type="character" w:customStyle="1" w:styleId="20">
    <w:name w:val="标题 2 字符"/>
    <w:basedOn w:val="a0"/>
    <w:link w:val="2"/>
    <w:uiPriority w:val="9"/>
    <w:semiHidden/>
    <w:rsid w:val="00887C1C"/>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512582">
      <w:bodyDiv w:val="1"/>
      <w:marLeft w:val="0"/>
      <w:marRight w:val="0"/>
      <w:marTop w:val="0"/>
      <w:marBottom w:val="0"/>
      <w:divBdr>
        <w:top w:val="none" w:sz="0" w:space="0" w:color="auto"/>
        <w:left w:val="none" w:sz="0" w:space="0" w:color="auto"/>
        <w:bottom w:val="none" w:sz="0" w:space="0" w:color="auto"/>
        <w:right w:val="none" w:sz="0" w:space="0" w:color="auto"/>
      </w:divBdr>
    </w:div>
    <w:div w:id="716470644">
      <w:bodyDiv w:val="1"/>
      <w:marLeft w:val="0"/>
      <w:marRight w:val="0"/>
      <w:marTop w:val="0"/>
      <w:marBottom w:val="0"/>
      <w:divBdr>
        <w:top w:val="none" w:sz="0" w:space="0" w:color="auto"/>
        <w:left w:val="none" w:sz="0" w:space="0" w:color="auto"/>
        <w:bottom w:val="none" w:sz="0" w:space="0" w:color="auto"/>
        <w:right w:val="none" w:sz="0" w:space="0" w:color="auto"/>
      </w:divBdr>
    </w:div>
    <w:div w:id="789907468">
      <w:bodyDiv w:val="1"/>
      <w:marLeft w:val="0"/>
      <w:marRight w:val="0"/>
      <w:marTop w:val="0"/>
      <w:marBottom w:val="0"/>
      <w:divBdr>
        <w:top w:val="none" w:sz="0" w:space="0" w:color="auto"/>
        <w:left w:val="none" w:sz="0" w:space="0" w:color="auto"/>
        <w:bottom w:val="none" w:sz="0" w:space="0" w:color="auto"/>
        <w:right w:val="none" w:sz="0" w:space="0" w:color="auto"/>
      </w:divBdr>
    </w:div>
    <w:div w:id="1210604081">
      <w:bodyDiv w:val="1"/>
      <w:marLeft w:val="0"/>
      <w:marRight w:val="0"/>
      <w:marTop w:val="0"/>
      <w:marBottom w:val="0"/>
      <w:divBdr>
        <w:top w:val="none" w:sz="0" w:space="0" w:color="auto"/>
        <w:left w:val="none" w:sz="0" w:space="0" w:color="auto"/>
        <w:bottom w:val="none" w:sz="0" w:space="0" w:color="auto"/>
        <w:right w:val="none" w:sz="0" w:space="0" w:color="auto"/>
      </w:divBdr>
    </w:div>
    <w:div w:id="132566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ql wei</dc:creator>
  <cp:keywords/>
  <dc:description/>
  <cp:lastModifiedBy>qiulong wei</cp:lastModifiedBy>
  <cp:revision>41</cp:revision>
  <cp:lastPrinted>2017-08-26T03:55:00Z</cp:lastPrinted>
  <dcterms:created xsi:type="dcterms:W3CDTF">2018-01-20T23:32:00Z</dcterms:created>
  <dcterms:modified xsi:type="dcterms:W3CDTF">2018-01-21T22:31:00Z</dcterms:modified>
</cp:coreProperties>
</file>