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media/image11.svg" ContentType="image/svg+xml"/>
  <Override PartName="/word/media/image15.svg" ContentType="image/svg+xml"/>
  <Override PartName="/word/media/image24.svg" ContentType="image/svg+xml"/>
  <Override PartName="/word/media/image26.svg" ContentType="image/svg+xml"/>
  <Override PartName="/word/media/image28.svg" ContentType="image/svg+xml"/>
  <Override PartName="/word/media/image3.svg" ContentType="image/svg+xml"/>
  <Override PartName="/word/media/image30.svg" ContentType="image/svg+xml"/>
  <Override PartName="/word/media/image32.svg" ContentType="image/svg+xml"/>
  <Override PartName="/word/media/image34.svg" ContentType="image/svg+xml"/>
  <Override PartName="/word/media/image36.svg" ContentType="image/svg+xml"/>
  <Override PartName="/word/media/image39.svg" ContentType="image/svg+xml"/>
  <Override PartName="/word/media/image41.svg" ContentType="image/svg+xml"/>
  <Override PartName="/word/media/image43.svg" ContentType="image/svg+xml"/>
  <Override PartName="/word/media/image45.svg" ContentType="image/svg+xml"/>
  <Override PartName="/word/media/image48.svg" ContentType="image/svg+xml"/>
  <Override PartName="/word/media/image5.svg" ContentType="image/svg+xml"/>
  <Override PartName="/word/media/image50.svg" ContentType="image/svg+xml"/>
  <Override PartName="/word/media/image52.svg" ContentType="image/svg+xml"/>
  <Override PartName="/word/media/image7.svg" ContentType="image/svg+xml"/>
  <Override PartName="/word/media/image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3AA415">
      <w:pPr>
        <w:pStyle w:val="45"/>
        <w:spacing w:line="360" w:lineRule="auto"/>
        <w:rPr>
          <w:b w:val="0"/>
          <w:color w:val="auto"/>
          <w:sz w:val="20"/>
          <w:szCs w:val="20"/>
        </w:rPr>
      </w:pPr>
      <w:bookmarkStart w:id="5" w:name="_GoBack"/>
      <w:r>
        <w:rPr>
          <w:b w:val="0"/>
          <w:color w:val="auto"/>
          <w:sz w:val="20"/>
          <w:szCs w:val="20"/>
        </w:rPr>
        <w:t xml:space="preserve">Supporting Information </w:t>
      </w:r>
    </w:p>
    <w:p w14:paraId="148E879D">
      <w:pPr>
        <w:pStyle w:val="45"/>
        <w:spacing w:line="360" w:lineRule="auto"/>
        <w:jc w:val="center"/>
        <w:rPr>
          <w:b w:val="0"/>
          <w:color w:val="auto"/>
          <w:sz w:val="20"/>
          <w:szCs w:val="20"/>
        </w:rPr>
      </w:pPr>
      <w:r>
        <w:rPr>
          <w:bCs/>
          <w:color w:val="auto"/>
          <w:sz w:val="20"/>
          <w:szCs w:val="20"/>
        </w:rPr>
        <w:t>Unlocking the Ligand-Dominated Redox Activity in π-d Conjugated Coordination Polymers for High-Capacity and Stable Potassium Storage</w:t>
      </w:r>
    </w:p>
    <w:p w14:paraId="3AF55E3D">
      <w:pPr>
        <w:pStyle w:val="41"/>
        <w:spacing w:line="360" w:lineRule="auto"/>
        <w:rPr>
          <w:color w:val="auto"/>
          <w:sz w:val="20"/>
          <w:szCs w:val="20"/>
        </w:rPr>
      </w:pPr>
    </w:p>
    <w:p w14:paraId="0A25FB95">
      <w:pPr>
        <w:spacing w:line="360" w:lineRule="auto"/>
        <w:jc w:val="center"/>
        <w:rPr>
          <w:rFonts w:eastAsiaTheme="minorEastAsia"/>
          <w:i/>
          <w:color w:val="auto"/>
          <w:sz w:val="20"/>
          <w:szCs w:val="20"/>
          <w:vertAlign w:val="superscript"/>
          <w:lang w:val="en-US" w:eastAsia="zh-CN"/>
        </w:rPr>
      </w:pPr>
      <w:r>
        <w:rPr>
          <w:i/>
          <w:color w:val="auto"/>
          <w:sz w:val="20"/>
          <w:szCs w:val="20"/>
        </w:rPr>
        <w:t>Kang Han</w:t>
      </w:r>
      <w:r>
        <w:rPr>
          <w:i/>
          <w:color w:val="auto"/>
          <w:sz w:val="20"/>
          <w:szCs w:val="20"/>
          <w:vertAlign w:val="superscript"/>
        </w:rPr>
        <w:t>1,3</w:t>
      </w:r>
      <w:r>
        <w:rPr>
          <w:i/>
          <w:color w:val="auto"/>
          <w:sz w:val="20"/>
          <w:szCs w:val="20"/>
        </w:rPr>
        <w:t>, Zhenhang Zhong</w:t>
      </w:r>
      <w:bookmarkStart w:id="0" w:name="_Hlk197952300"/>
      <w:r>
        <w:rPr>
          <w:i/>
          <w:color w:val="auto"/>
          <w:sz w:val="20"/>
          <w:szCs w:val="20"/>
          <w:vertAlign w:val="superscript"/>
        </w:rPr>
        <w:t>1</w:t>
      </w:r>
      <w:bookmarkEnd w:id="0"/>
      <w:r>
        <w:rPr>
          <w:i/>
          <w:color w:val="auto"/>
          <w:sz w:val="20"/>
          <w:szCs w:val="20"/>
        </w:rPr>
        <w:t>, Hao,Zhang</w:t>
      </w:r>
      <w:r>
        <w:rPr>
          <w:i/>
          <w:color w:val="auto"/>
          <w:sz w:val="20"/>
          <w:szCs w:val="20"/>
          <w:vertAlign w:val="superscript"/>
        </w:rPr>
        <w:t>1</w:t>
      </w:r>
      <w:r>
        <w:rPr>
          <w:i/>
          <w:color w:val="auto"/>
          <w:sz w:val="20"/>
          <w:szCs w:val="20"/>
        </w:rPr>
        <w:t>, Guangwan Zhang</w:t>
      </w:r>
      <w:r>
        <w:rPr>
          <w:i/>
          <w:color w:val="auto"/>
          <w:sz w:val="20"/>
          <w:szCs w:val="20"/>
          <w:vertAlign w:val="superscript"/>
        </w:rPr>
        <w:t>1</w:t>
      </w:r>
      <w:r>
        <w:rPr>
          <w:i/>
          <w:color w:val="auto"/>
          <w:sz w:val="20"/>
          <w:szCs w:val="20"/>
        </w:rPr>
        <w:t>, Xuanpeng Wang</w:t>
      </w:r>
      <w:r>
        <w:rPr>
          <w:i/>
          <w:color w:val="auto"/>
          <w:sz w:val="20"/>
          <w:szCs w:val="20"/>
          <w:vertAlign w:val="superscript"/>
        </w:rPr>
        <w:t>2,3,4</w:t>
      </w:r>
      <w:r>
        <w:rPr>
          <w:i/>
          <w:color w:val="auto"/>
          <w:sz w:val="20"/>
          <w:szCs w:val="20"/>
        </w:rPr>
        <w:t>, Fang Liu,Chao</w:t>
      </w:r>
      <w:r>
        <w:rPr>
          <w:rFonts w:hint="eastAsia" w:eastAsia="宋体"/>
          <w:i/>
          <w:color w:val="auto"/>
          <w:sz w:val="20"/>
          <w:szCs w:val="20"/>
          <w:lang w:val="en-US" w:eastAsia="zh-CN"/>
        </w:rPr>
        <w:t>j</w:t>
      </w:r>
      <w:r>
        <w:rPr>
          <w:i/>
          <w:color w:val="auto"/>
          <w:sz w:val="20"/>
          <w:szCs w:val="20"/>
        </w:rPr>
        <w:t>iang Niu</w:t>
      </w:r>
      <w:r>
        <w:rPr>
          <w:i/>
          <w:color w:val="auto"/>
          <w:sz w:val="20"/>
          <w:szCs w:val="20"/>
          <w:vertAlign w:val="superscript"/>
        </w:rPr>
        <w:t>5*</w:t>
      </w:r>
      <w:r>
        <w:rPr>
          <w:i/>
          <w:color w:val="auto"/>
          <w:sz w:val="20"/>
          <w:szCs w:val="20"/>
        </w:rPr>
        <w:t>,Liqiang Mai</w:t>
      </w:r>
      <w:r>
        <w:rPr>
          <w:i/>
          <w:color w:val="auto"/>
          <w:sz w:val="20"/>
          <w:szCs w:val="20"/>
          <w:vertAlign w:val="superscript"/>
        </w:rPr>
        <w:t>1</w:t>
      </w:r>
      <w:r>
        <w:rPr>
          <w:i/>
          <w:color w:val="auto"/>
          <w:sz w:val="20"/>
          <w:szCs w:val="20"/>
        </w:rPr>
        <w:t>*</w:t>
      </w:r>
    </w:p>
    <w:p w14:paraId="034584FC">
      <w:pPr>
        <w:keepNext/>
        <w:spacing w:before="120" w:beforeLines="50"/>
        <w:rPr>
          <w:b/>
          <w:color w:val="auto"/>
          <w:sz w:val="20"/>
          <w:szCs w:val="20"/>
          <w:lang w:val="en-US" w:eastAsia="zh-CN"/>
        </w:rPr>
      </w:pPr>
      <w:r>
        <w:rPr>
          <w:b/>
          <w:bCs/>
          <w:color w:val="auto"/>
          <w:sz w:val="20"/>
          <w:szCs w:val="20"/>
        </w:rPr>
        <w:t xml:space="preserve">Experimental Section     </w:t>
      </w:r>
      <w:r>
        <w:rPr>
          <w:color w:val="auto"/>
          <w:sz w:val="20"/>
          <w:szCs w:val="20"/>
        </w:rPr>
        <w:t xml:space="preserve">   </w:t>
      </w:r>
    </w:p>
    <w:p w14:paraId="1D0B6C4D">
      <w:pPr>
        <w:keepNext/>
        <w:spacing w:before="120" w:beforeLines="50" w:after="120" w:afterLines="50"/>
        <w:rPr>
          <w:b/>
          <w:color w:val="auto"/>
          <w:sz w:val="20"/>
          <w:szCs w:val="20"/>
        </w:rPr>
      </w:pPr>
      <w:r>
        <w:rPr>
          <w:b/>
          <w:color w:val="auto"/>
          <w:sz w:val="20"/>
          <w:szCs w:val="20"/>
        </w:rPr>
        <w:t xml:space="preserve">1.1 Synthesis of TM-BTA  </w:t>
      </w:r>
    </w:p>
    <w:p w14:paraId="5A4674A7">
      <w:pPr>
        <w:keepNext/>
        <w:spacing w:line="312" w:lineRule="auto"/>
        <w:ind w:firstLine="400" w:firstLineChars="200"/>
        <w:jc w:val="both"/>
        <w:rPr>
          <w:color w:val="auto"/>
          <w:sz w:val="20"/>
          <w:szCs w:val="20"/>
        </w:rPr>
      </w:pPr>
      <w:r>
        <w:rPr>
          <w:color w:val="auto"/>
          <w:sz w:val="20"/>
          <w:szCs w:val="20"/>
        </w:rPr>
        <w:t>The synthesis of TM-BTA (transition metal-BTA) was adapted from a previously reported vapor-phase crystallization method</w:t>
      </w:r>
      <w:r>
        <w:rPr>
          <w:color w:val="auto"/>
          <w:sz w:val="20"/>
          <w:szCs w:val="20"/>
        </w:rPr>
        <w:fldChar w:fldCharType="begin"/>
      </w:r>
      <w:r>
        <w:rPr>
          <w:color w:val="auto"/>
          <w:sz w:val="20"/>
          <w:szCs w:val="20"/>
        </w:rPr>
        <w:instrText xml:space="preserve"> ADDIN ZOTERO_ITEM CSL_CITATION {"citationID":"QFLIAN7I","properties":{"formattedCitation":"\\super [1]\\nosupersub{}","plainCitation":"[1]","noteIndex":0},"citationItems":[{"id":248,"uris":["http://zotero.org/users/local/9p5c78a5/items/GEZK33SZ","http://zotero.org/users/15782094/items/GEZK33SZ"],"itemData":{"id":248,"type":"article-journal","abstract":"Abstract\n            \n              Organic electrode materials suffer from low electronic conductivity and poor structure stability. Herein, a metal–or</w:instrText>
      </w:r>
      <w:r>
        <w:rPr>
          <w:rFonts w:hint="eastAsia"/>
          <w:color w:val="auto"/>
          <w:sz w:val="20"/>
          <w:szCs w:val="20"/>
        </w:rPr>
        <w:instrText xml:space="preserve">ganic polymer, Ni‐coordinated tetramino‐benzoquinone (Ni‐TABQ), is synthesized via d–π hybridization. The polymer chains are stitched by hydrogen bonds to feature as a robust two‐dimensional (2D) layered structure. It offers both electron conduction and N</w:instrText>
      </w:r>
      <w:r>
        <w:rPr>
          <w:color w:val="auto"/>
          <w:sz w:val="20"/>
          <w:szCs w:val="20"/>
        </w:rPr>
        <w:instrText xml:space="preserve">a\n              +\n              diffusion pathways along the directions of the polymer chains and the hydrogen bonds. With both the conjugated benzoid carbonyls and imines as the redox centers for the insertion and extraction of Na\n              +\n              , the Ni</w:instrText>
      </w:r>
      <w:r>
        <w:rPr>
          <w:rFonts w:hint="eastAsia"/>
          <w:color w:val="auto"/>
          <w:sz w:val="20"/>
          <w:szCs w:val="20"/>
        </w:rPr>
        <w:instrText xml:space="preserve">‐</w:instrText>
      </w:r>
      <w:r>
        <w:rPr>
          <w:color w:val="auto"/>
          <w:sz w:val="20"/>
          <w:szCs w:val="20"/>
        </w:rPr>
        <w:instrText xml:space="preserve">TABQ delivers high capacities of about 469.5 mAh g\n              −1\n              at 100 mA g\n              −1\n              and 345.4 mAh g\n              −1\n              at 8 A g\n              −1\n              . The large capacities are sustained for 100 cycles with almost 100 % coulombic efficiencies. The exceptional electrochemical performance is attributed to the unique 2D electron conduction and Na\n              +\n              diffusion pathways enabled by the robust Ni–N and hydrogen bonds.","container-title":"Angewandte Chemie International Edition","DOI":"10.1002/anie.202008726","ISSN":"1433-7851, 1521-3773","issue":"49","journalAbbreviation":"Angew Chem Int Ed","language":"en","license":"© 2020 Wiley-VCH GmbH","not</w:instrText>
      </w:r>
      <w:r>
        <w:rPr>
          <w:rFonts w:hint="eastAsia"/>
          <w:color w:val="auto"/>
          <w:sz w:val="20"/>
          <w:szCs w:val="20"/>
        </w:rPr>
        <w:instrText xml:space="preserve">e":"_eprint: https://onlinelibrary.wiley.com/doi/pdf/10.1002/anie.202008726","page":"22126-22131","source":"Wiley Online Library","title":"A Two‐Dimensional Metal–Organic Polymer Enabled by Robust Nickel–Nitrogen and Hydrogen Bonds for Exceptional Sodium‐</w:instrText>
      </w:r>
      <w:r>
        <w:rPr>
          <w:color w:val="auto"/>
          <w:sz w:val="20"/>
          <w:szCs w:val="20"/>
        </w:rPr>
        <w:instrText xml:space="preserve">Ion Storage","volume":"59","author":[{"family":"Wang","given":"Liubin"},{"family":"Ni","given":"Youxuan"},{"family":"Hou","given":"Xuesen"},{"family":"Chen","given":"Li"},{"family":"Li","given":"Fujun"},{"family":"Chen","given":"Jun"}],"issued":{"date-parts":[["2020",12]]}}}],"schema":"https://github.com/citation-style-language/schema/raw/master/csl-citation.json"} </w:instrText>
      </w:r>
      <w:r>
        <w:rPr>
          <w:color w:val="auto"/>
          <w:sz w:val="20"/>
          <w:szCs w:val="20"/>
        </w:rPr>
        <w:fldChar w:fldCharType="separate"/>
      </w:r>
      <w:r>
        <w:rPr>
          <w:color w:val="auto"/>
          <w:sz w:val="20"/>
          <w:szCs w:val="20"/>
          <w:vertAlign w:val="superscript"/>
        </w:rPr>
        <w:t>[1]</w:t>
      </w:r>
      <w:r>
        <w:rPr>
          <w:color w:val="auto"/>
          <w:sz w:val="20"/>
          <w:szCs w:val="20"/>
        </w:rPr>
        <w:fldChar w:fldCharType="end"/>
      </w:r>
      <w:r>
        <w:rPr>
          <w:color w:val="auto"/>
          <w:sz w:val="20"/>
          <w:szCs w:val="20"/>
        </w:rPr>
        <w:t xml:space="preserve">. Taking Ni-BTA as an example, the synthesis process is detailed as follows:  </w:t>
      </w:r>
    </w:p>
    <w:p w14:paraId="5BF621BA">
      <w:pPr>
        <w:keepNext/>
        <w:spacing w:line="312" w:lineRule="auto"/>
        <w:ind w:firstLine="400" w:firstLineChars="200"/>
        <w:jc w:val="both"/>
        <w:rPr>
          <w:color w:val="auto"/>
          <w:sz w:val="20"/>
          <w:szCs w:val="20"/>
        </w:rPr>
      </w:pPr>
      <w:r>
        <w:rPr>
          <w:color w:val="auto"/>
          <w:sz w:val="20"/>
          <w:szCs w:val="20"/>
        </w:rPr>
        <w:t>A sufficiently large sealed box was prepared, containing two Petri dishes labeled A and B. Equimolar amounts of 1,2,4,5-benzenetetramine tetrahydrochloride and nickel chloride hexahydrate were dissolved in 15 mL of water. Once fully dissolved, the resulting solution was poured into Petri dish A. In Petri dish B, 15 mL of ammonia solution was added. The box was sealed to prevent ammonia evaporation, and the reaction was maintained under vapor-phase conditions for approximately 12 hours. It is worth noting that oxygen is essential for obtaining highly crystalline materials. To ensure sufficient oxygen supply, the sealed lid was opened every hour during the reaction to replenish oxygen. After completion, the product was washed three times each with water and acetone via centrifugation, then dried in an oven for storage. The synthesis procedures for Co-BTA and Mn-BTA were similar to that for Ni-BTA, with the only difference being the replacement of nickel chloride with cobalt(II) chloride and manganese(II) chloride tetrahydrate, respectively, in the first step.</w:t>
      </w:r>
    </w:p>
    <w:p w14:paraId="0C78CE77">
      <w:pPr>
        <w:keepNext/>
        <w:spacing w:before="120" w:beforeLines="50" w:after="120" w:afterLines="50"/>
        <w:rPr>
          <w:color w:val="auto"/>
          <w:sz w:val="20"/>
          <w:szCs w:val="20"/>
        </w:rPr>
      </w:pPr>
      <w:r>
        <w:rPr>
          <w:b/>
          <w:color w:val="auto"/>
          <w:sz w:val="20"/>
          <w:szCs w:val="20"/>
        </w:rPr>
        <w:t>1.2 Electrochemical Measurements</w:t>
      </w:r>
    </w:p>
    <w:p w14:paraId="1195624E">
      <w:pPr>
        <w:keepNext/>
        <w:spacing w:line="312" w:lineRule="auto"/>
        <w:ind w:firstLine="400" w:firstLineChars="200"/>
        <w:jc w:val="both"/>
        <w:rPr>
          <w:color w:val="auto"/>
          <w:sz w:val="20"/>
          <w:szCs w:val="20"/>
        </w:rPr>
      </w:pPr>
      <w:r>
        <w:rPr>
          <w:color w:val="auto"/>
          <w:sz w:val="20"/>
          <w:szCs w:val="20"/>
        </w:rPr>
        <w:t xml:space="preserve">The potassium-ion batteries based on Ni-BTA electrodes were assembled in an argon-filled glove box, maintaining oxygen and water contents below 100 ppm. The working electrode was prepared by mixing active material, Super P, and sodium carboxymethyl cellulose (CMC) in a 70:20:10 weight ratio. The active material and Super P were ground together in a mortar, then dispersed in a pre-prepared CMC solution to form a uniform slurry. This slurry was coated onto copper foil and dried in a vacuum oven at 60°C for 12 hours. The coated foil was cut into 10 mm diameter electrode disks, with an average active material loading of approximately 1.5 mg cm⁻².  </w:t>
      </w:r>
    </w:p>
    <w:p w14:paraId="2AE91138">
      <w:pPr>
        <w:keepNext/>
        <w:spacing w:line="312" w:lineRule="auto"/>
        <w:ind w:firstLine="400" w:firstLineChars="200"/>
        <w:jc w:val="both"/>
        <w:rPr>
          <w:color w:val="auto"/>
          <w:sz w:val="20"/>
          <w:szCs w:val="20"/>
        </w:rPr>
      </w:pPr>
      <w:r>
        <w:rPr>
          <w:color w:val="auto"/>
          <w:sz w:val="20"/>
          <w:szCs w:val="20"/>
        </w:rPr>
        <w:t>CR2016 coin cells were assembled, with the active electrode as the working electrode, Whatman GF/D glass fiber as the separator, and potassium metal as the reference electrode. The electrolyte used was 5 M KFSI in DME. Performance tests included galvanostatic charge-discharge measurements and quantitative analyses based on GITT and dynamic potential techniques, conducted using a Neware BTS-4008-5V-50mA system within the voltage range of 0.01–3.0 V. CV and EIS measurements were performed at room temperature using CHI760E and BioLogic EC Lab electrochemical workstations.</w:t>
      </w:r>
    </w:p>
    <w:p w14:paraId="4A4664BD">
      <w:pPr>
        <w:keepNext/>
        <w:spacing w:before="120" w:beforeLines="50" w:after="120" w:afterLines="50"/>
        <w:rPr>
          <w:b/>
          <w:color w:val="auto"/>
          <w:sz w:val="20"/>
          <w:szCs w:val="20"/>
        </w:rPr>
      </w:pPr>
      <w:r>
        <w:rPr>
          <w:b/>
          <w:color w:val="auto"/>
          <w:sz w:val="20"/>
          <w:szCs w:val="20"/>
        </w:rPr>
        <w:t xml:space="preserve">1.3 Theoretical Calculation Methods  </w:t>
      </w:r>
    </w:p>
    <w:p w14:paraId="099386DF">
      <w:pPr>
        <w:keepNext/>
        <w:spacing w:line="312" w:lineRule="auto"/>
        <w:ind w:firstLine="400" w:firstLineChars="200"/>
        <w:jc w:val="both"/>
        <w:rPr>
          <w:color w:val="auto"/>
          <w:sz w:val="20"/>
          <w:szCs w:val="20"/>
        </w:rPr>
      </w:pPr>
      <w:r>
        <w:rPr>
          <w:color w:val="auto"/>
          <w:sz w:val="20"/>
          <w:szCs w:val="20"/>
        </w:rPr>
        <w:t>First-principles calculations were performed using the open-source software CP2K</w:t>
      </w:r>
      <w:r>
        <w:rPr>
          <w:color w:val="auto"/>
          <w:sz w:val="20"/>
          <w:szCs w:val="20"/>
        </w:rPr>
        <w:fldChar w:fldCharType="begin"/>
      </w:r>
      <w:r>
        <w:rPr>
          <w:color w:val="auto"/>
          <w:sz w:val="20"/>
          <w:szCs w:val="20"/>
        </w:rPr>
        <w:instrText xml:space="preserve"> ADDIN ZOTERO_ITEM CSL_CITATION {"citationID":"oNL7ARav","properties":{"formattedCitation":"\\super [2]\\nosupersub{}","plainCitation":"[2]","noteIndex":0},"citationItems":[{"id":204,"uris":["http://zotero.org/users/local/9p5c78a5/items/F4F8L4AL","http://zotero.org/users/15782094/items/F4F8L4AL"],"itemData":{"id":204,"type":"article-journal","abstract":"CP2K is an open source electronic structure and molecular dynamics software package to perform atomistic simulations of solid-state, liquid, molecular, and biological systems. It is especially aimed at massively parallel and linear-scaling electronic structure methods and state-of-the-art ab initio molecular dynamics simulations. Excellent performance for electronic structure calculations is achieved using novel algorithms implemented for modern high-performance computing systems. This review revisits the main capabilities of CP2K to perform efficient and accurate electronic structure simulations. The emphasis is put on density functional theory and multiple post–Hartree–Fock methods using the Gaussian and plane wave approach and its augmented all-electron extension.","container-title":"The Journal of Chemical Physics","DOI":"10.1063/5.0007045","ISSN":"0021-9606, 1089-7690","issue":"19","journalAbbreviation":"The Journal of Chemical Physics","page":"194103","source":"Silverchair","title":"CP2K: An Electronic Structure and Molecular Dynamics Software Package-Quickstep: Efficient and Accurate Electronic Structure Calculations","title-short":"Cp2k","volume":"152","author":[{"family":"Kühne","given":"Thomas D."},{"family":"Iannuzzi","given":"Marcella"},{"family":"Del Ben","given":"Mauro"},{"family":"Rybkin","given":"Vladimir V."},{"family":"Seewald","given":"Patrick"},{"family":"Stein","given":"Frederick"},{"family":"Laino","given":"Teodoro"},{"family":"Khaliullin","given":"Rustam Z."},{"family":"Schütt","given":"Ole"},{"family":"Schiffmann","given":"Florian"},{"family":"Golze","given":"Dorothea"},{"family":"Wilhelm","given":"Jan"},{"family":"Chulkov","given":"Sergey"},{"family":"Bani-Hashemian","given":"Mohammad Hossein"},{"family":"Weber","given":"Valéry"},{"family":"Borštnik","given":"Urban"},{"family":"Taillefumier","given":"Mathieu"},{"family":"Jakobovits","given":"Alice Shoshana"},{"family":"Lazzaro","given":"Alfio"},{"family":"Pabst","given":"Hans"},{"family":"Müller","given":"Tiziano"},{"family":"Schade","given":"Robert"},{"family":"Guidon","given":"Manuel"},{"family":"Andermatt","given":"Samuel"},{"family":"Holmberg","given":"Nico"},{"family":"Schenter","given":"Gregory K."},{"family":"Hehn","given":"Anna"},{"family":"Bussy","given":"Augustin"},{"family":"Belleflamme","given":"Fabian"},{"family":"Tabacchi","given":"Gloria"},{"family":"Glöß","given":"Andreas"},{"family":"Lass","given":"Michael"},{"family":"Bethune","given":"Iain"},{"family":"Mundy","given":"Christopher J."},{"family":"Plessl","given":"Christian"},{"family":"Watkins","given":"Matt"},{"family":"VandeVondele","given":"Joost"},{"family":"Krack","given":"Matthias"},{"family":"Hutter","given":"Jürg"}],"issued":{"date-parts":[["2020",5,21]]}}}],"schema":"https://github.com/citation-style-language/schema/raw/master/csl-citation.json"} </w:instrText>
      </w:r>
      <w:r>
        <w:rPr>
          <w:color w:val="auto"/>
          <w:sz w:val="20"/>
          <w:szCs w:val="20"/>
        </w:rPr>
        <w:fldChar w:fldCharType="separate"/>
      </w:r>
      <w:r>
        <w:rPr>
          <w:color w:val="auto"/>
          <w:sz w:val="20"/>
          <w:szCs w:val="20"/>
          <w:vertAlign w:val="superscript"/>
        </w:rPr>
        <w:t>[2]</w:t>
      </w:r>
      <w:r>
        <w:rPr>
          <w:color w:val="auto"/>
          <w:sz w:val="20"/>
          <w:szCs w:val="20"/>
        </w:rPr>
        <w:fldChar w:fldCharType="end"/>
      </w:r>
      <w:r>
        <w:rPr>
          <w:color w:val="auto"/>
          <w:sz w:val="20"/>
          <w:szCs w:val="20"/>
        </w:rPr>
        <w:t>. Structural optimization employed the PBE functional with D3 (BJ) dispersion corrections. For structural optimization, the DZVP-MOLOPT-SR-GTH basis set was used, while energy calculations utilized the TZV2P-MOLOPT-SR-GTH basis set. To ensure accuracy, the cutoff energy of the primary grid was set to 450 eV, with a relative cutoff of 55 Ry. Charge distribution and wavefunction analyses were carried out using Multiwfn</w:t>
      </w:r>
      <w:r>
        <w:rPr>
          <w:color w:val="auto"/>
          <w:sz w:val="20"/>
          <w:szCs w:val="20"/>
        </w:rPr>
        <w:fldChar w:fldCharType="begin"/>
      </w:r>
      <w:r>
        <w:rPr>
          <w:color w:val="auto"/>
          <w:sz w:val="20"/>
          <w:szCs w:val="20"/>
        </w:rPr>
        <w:instrText xml:space="preserve"> ADDIN ZOTERO_ITEM CSL_CITATION {"citationID":"dyQPvDYu","properties":{"formattedCitation":"\\super [3,4]\\nosupersub{}","plainCitation":"[3,4]","noteIndex":0},"citationItems":[{"id":213,"uris":["http://zotero.org/users/local/9p5c78a5/items/MJYX9J7L","http://zotero.org/users/15782094/items/MJYX9J7L"],"itemData":{"id":213,"type":"article-journal","abstract":"Abstract\n            \n              Multiwfn is a multifunctional program for wavefunction analysis. Its main functions are: (1) Calculating and vis</w:instrText>
      </w:r>
      <w:r>
        <w:rPr>
          <w:rFonts w:hint="eastAsia"/>
          <w:color w:val="auto"/>
          <w:sz w:val="20"/>
          <w:szCs w:val="20"/>
        </w:rPr>
        <w:instrText xml:space="preserve">ualizing real space function, such as electrostatic potential and electron localization function at point, in a line, in a plane or in a spatial scope. (2) Population analysis. (3) Bond order analysis. (4) Orbital composition analysis. (5) Plot density‐of‐states and spectrum. (6) Topology analysis for electron density. Some other useful utilities involved in quantum chemistry studies are also provided. The built‐in graph module enables the results of wavefunction analysis to be plotted directly or exported to high‐quality graphic file. The program interface is very user‐friendly and suitable for both research and teaching purpose. The code of Multiwfn is substantially optimized and parallelized. Its efficiency is demonstrated to be significantly higher than related programs with the same functions. Five practical examples involving a wide variety of systems and analysis methods are given to illustrate the usefulness of Multiwfn. The program is free of charge and open‐source. Its precompiled file and sourc</w:instrText>
      </w:r>
      <w:r>
        <w:rPr>
          <w:color w:val="auto"/>
          <w:sz w:val="20"/>
          <w:szCs w:val="20"/>
        </w:rPr>
        <w:instrText xml:space="preserve">e codes are available from\n              http://multiwfn.codeplex.com\n              . © 2011 Wiley Periodicals, Inc. J Comput Chem, 2011","container-title":"Journal of Computational Chemistry","DOI":"10.1002/jcc.22885","ISSN":"0192-8651, 1096-987X","issue":"5","journalAbbreviation":"J Comput Chem","language":"en","license":"Copyright © 2011 Wiley Periodicals, Inc.","note":"_eprint: https://onlinelibrary.wiley.com/doi/pdf/10.1002/jcc.22885","page":"580-592","source":"Wiley Online Library","title":"Multiwfn: A Multifunctional Wavefunction Analyzer","title-short":"Multiwfn","volume":"33","author":[{"family":"Lu","given":"Tian"},{"family":"Chen","given":"Feiwu"}],"issued":{"date-parts":[["2012",2,15]]}}},{"id":244,"uris":["http://zotero.org/users/local/9p5c78a5/items/RH96RVD5","http://zotero.org/users/15782094/items/RH96RVD5"],"itemData":{"id":244,"type":"article-journal","abstract":"Analysis of electron wavefunction is a key component of quantum chemistry investigations and is indispensable for the practical research of many chemical problems. After more than ten years of active development, the wavefunction analysis program Multiwfn has accumulated very rich functions, and its application scope has covered numerous aspects of theoretical chemical research, including charge distribution, chemical bond, electron localization and delocalization, aromaticity, intramolecular and intermolecular interactions, electronic excitation, and response property. This article systematically introduces the features and functions of the latest version of Multiwfn and provides many representative examples. Through this article, readers will be able to fully understand the characteristics and recognize the unique value of Multiwfn. The source code and precompiled executable files of Multiwfn, as well as the manual containing a detailed introduction to theoretical backgrounds and very rich tutorials, can all be downloaded for free from the Multiwfn website (http://sobereva.com/multiwfn).","container-title":"The Journal of Chemical Physics","DOI":"10.1063/5.0216272","ISSN":"0021-9606, 1089-7690","issue":"8","journalAbbreviation":"The Journal of Chemical Physics","page":"082503","source":"Silverchair","title":"A Comprehensive Electron Wavefunction Analysis Toolbox for Chemists, Multiwfn","volume":"161","author":[{"family":"Lu","given":"Tian"}],"issued":{"date-parts":[["2024",8,28]]}}}],"schema":"https://github.com/citation-style-language/schema/raw/master/csl-citation.json"} </w:instrText>
      </w:r>
      <w:r>
        <w:rPr>
          <w:color w:val="auto"/>
          <w:sz w:val="20"/>
          <w:szCs w:val="20"/>
        </w:rPr>
        <w:fldChar w:fldCharType="separate"/>
      </w:r>
      <w:r>
        <w:rPr>
          <w:color w:val="auto"/>
          <w:sz w:val="20"/>
          <w:szCs w:val="20"/>
          <w:vertAlign w:val="superscript"/>
        </w:rPr>
        <w:t>[3,4]</w:t>
      </w:r>
      <w:r>
        <w:rPr>
          <w:color w:val="auto"/>
          <w:sz w:val="20"/>
          <w:szCs w:val="20"/>
        </w:rPr>
        <w:fldChar w:fldCharType="end"/>
      </w:r>
      <w:r>
        <w:rPr>
          <w:color w:val="auto"/>
          <w:sz w:val="20"/>
          <w:szCs w:val="20"/>
        </w:rPr>
        <w:t xml:space="preserve"> and VMD</w:t>
      </w:r>
      <w:r>
        <w:rPr>
          <w:color w:val="auto"/>
          <w:sz w:val="20"/>
          <w:szCs w:val="20"/>
        </w:rPr>
        <w:fldChar w:fldCharType="begin"/>
      </w:r>
      <w:r>
        <w:rPr>
          <w:color w:val="auto"/>
          <w:sz w:val="20"/>
          <w:szCs w:val="20"/>
        </w:rPr>
        <w:instrText xml:space="preserve"> ADDIN ZOTERO_ITEM CSL_CITATION {"citationID":"FsEGxKW9","properties":{"formattedCitation":"\\super [5]\\nosupersub{}","plainCitation":"[5]","noteIndex":0},"citationItems":[{"id":212,"uris":["http://zotero.org/users/local/9p5c78a5/items/WXLBV7DB","http://zotero.org/users/15782094/items/WXLBV7DB"],"itemData":{"id":212,"type":"article-journal","abstract":"VMD is a molecular graphics program designed for the display and analysis of molecular assemblies, in particular biopolymers such as proteins and nucleic acids. VMD can simultaneously display any number of structures using a wide variety of rendering styles and coloring methods. Molecules are displayed as one or more \"representations,\" in which each representation embodies a particular rendering method and coloring scheme for a selected subset of atoms. The atoms displayed in each representation are chosen using an extensive atom selection syntax, which includes Boolean operators and regular expressions. VMD provides a complete graphical user interface for program control, as well as a text interface using the Tcl embeddable parser to allow for complex scripts with variable substitution, control loops, and function calls. Full session logging is supported, which produces a VMD command script for later playback. High-resolution raster images of displayed molecules may be produced by generating input scripts for use by a number of photorealistic image-rendering applications. VMD has also been expressly designed with the ability to animate molecular dynamics (MD) simulation trajectories, imported either from files or from a direct connection to a running MD simulation. VMD is the visualization component of MDScope, a set of tools for interactive problem solving in structural biology, which also includes the parallel MD program NAMD, and the MDCOMM software used to connect the visualization and simulation programs. VMD is written in C++, using an object-oriented design; the program, including source code and extensive documentation, is freely available via anonymous ftp and through the World Wide Web.","container-title":"Journal of Molecular Graphics","DOI":"10.1016/0263-7855(96)00018-5","ISSN":"02637855","issue":"1","journalAbbreviation":"Journal of Molecular Graphics","language":"eng","note":"PMID: 8744570","page":"33-38","source":"PubMed","title":"VMD: Visual Molecular Dynamics","title-short":"Vmd","volume":"14","author":[{"family":"Humphrey","given":"William"},{"family":"Dalke","given":"Andrew"},{"family":"Schulten","given":"Klaus"}],"issued":{"date-parts":[["1996",2]]}}}],"schema":"https://github.com/citation-style-language/schema/raw/master/csl-citation.json"} </w:instrText>
      </w:r>
      <w:r>
        <w:rPr>
          <w:color w:val="auto"/>
          <w:sz w:val="20"/>
          <w:szCs w:val="20"/>
        </w:rPr>
        <w:fldChar w:fldCharType="separate"/>
      </w:r>
      <w:r>
        <w:rPr>
          <w:color w:val="auto"/>
          <w:sz w:val="20"/>
          <w:szCs w:val="20"/>
          <w:vertAlign w:val="superscript"/>
        </w:rPr>
        <w:t>[5]</w:t>
      </w:r>
      <w:r>
        <w:rPr>
          <w:color w:val="auto"/>
          <w:sz w:val="20"/>
          <w:szCs w:val="20"/>
        </w:rPr>
        <w:fldChar w:fldCharType="end"/>
      </w:r>
      <w:r>
        <w:rPr>
          <w:color w:val="auto"/>
          <w:sz w:val="20"/>
          <w:szCs w:val="20"/>
        </w:rPr>
        <w:t>, while modeling and data visualization were conducted with VESTA.</w:t>
      </w:r>
    </w:p>
    <w:p w14:paraId="7BA9D52D">
      <w:pPr>
        <w:keepNext/>
        <w:spacing w:before="120" w:beforeLines="50" w:after="120" w:afterLines="50"/>
        <w:rPr>
          <w:b/>
          <w:color w:val="auto"/>
          <w:sz w:val="20"/>
          <w:szCs w:val="20"/>
        </w:rPr>
      </w:pPr>
      <w:r>
        <w:rPr>
          <w:b/>
          <w:color w:val="auto"/>
          <w:sz w:val="20"/>
          <w:szCs w:val="20"/>
        </w:rPr>
        <w:t>1.4 Material characterizations:</w:t>
      </w:r>
    </w:p>
    <w:p w14:paraId="3D641A15">
      <w:pPr>
        <w:keepNext/>
        <w:spacing w:line="312" w:lineRule="auto"/>
        <w:ind w:firstLine="400" w:firstLineChars="200"/>
        <w:jc w:val="both"/>
        <w:rPr>
          <w:color w:val="auto"/>
          <w:sz w:val="20"/>
          <w:szCs w:val="20"/>
        </w:rPr>
      </w:pPr>
      <w:r>
        <w:rPr>
          <w:color w:val="auto"/>
          <w:sz w:val="20"/>
          <w:szCs w:val="20"/>
        </w:rPr>
        <w:t xml:space="preserve">The morphology and elemental composition of the samples were examined using a JEOL JSM-7100FA field emission scanning electron microscope, combining Scanning Electron Microscopy (SEM) and Energy Dispersive X-ray Spectroscopy (EDS). The phase structures were analyzed via Powder X-ray Diffraction (XRD) with a Bruker D8 Discover diffractometer, employing Cu Kα radiation (λ = 1.5418 Å). Thermal stability was evaluated through Thermo-Gravimetric Analysis (TGA) using a Netzsch STA 449C simultaneous analyzer, conducted in air at a heating rate of 10°C/min from ambient temperature up to 800°C. Raman spectroscopy was performed on a Horiba Jobin Yvon Lab RAM HR800 spectrometer, utilizing a 532 nm He-Ne laser for standard Raman measurements. For in-situ Raman spectroscopy, a custom-designed cell with a sapphire window and a perforated Mo foil was used to ensure enhanced electrode contact. X-ray Photoelectron Spectroscopy (XPS) was conducted on a VG Multilab 2000 instrument, with all ex-situ characterizations being performed in an Ar atmosphere to prevent air or moisture exposure. Samples were disassembled and cleaned in a glovebox before transfer to a separate glovebox for preparation. Fourier Transform Infrared (FT-IR) spectroscopy, including in-situ IR tests, was undertaken using a Nicolt iS50 spectrometer in ATR mode. </w:t>
      </w:r>
    </w:p>
    <w:p w14:paraId="4F548096">
      <w:pPr>
        <w:keepNext/>
        <w:spacing w:before="120" w:beforeLines="50" w:after="120" w:afterLines="50"/>
        <w:rPr>
          <w:b/>
          <w:color w:val="auto"/>
          <w:sz w:val="20"/>
          <w:szCs w:val="20"/>
        </w:rPr>
      </w:pPr>
      <w:r>
        <w:rPr>
          <w:b/>
          <w:color w:val="auto"/>
          <w:sz w:val="20"/>
          <w:szCs w:val="20"/>
        </w:rPr>
        <w:t>1.5 Calculation of Projected Full-Cell Energy Density</w:t>
      </w:r>
    </w:p>
    <w:p w14:paraId="11EE3A7B">
      <w:pPr>
        <w:keepNext/>
        <w:spacing w:line="312" w:lineRule="auto"/>
        <w:ind w:firstLine="400" w:firstLineChars="200"/>
        <w:jc w:val="both"/>
        <w:rPr>
          <w:color w:val="auto"/>
          <w:sz w:val="20"/>
          <w:szCs w:val="20"/>
        </w:rPr>
      </w:pPr>
      <w:r>
        <w:rPr>
          <w:color w:val="auto"/>
          <w:sz w:val="20"/>
          <w:szCs w:val="20"/>
        </w:rPr>
        <w:t>The specific energy and power densities of the theoretical K-ion full cell, presented in the Ragone plot (Figure X), were estimated based on the electrochemical performance of the Ni-BTA anode and a benchmark K</w:t>
      </w:r>
      <w:r>
        <w:rPr>
          <w:color w:val="auto"/>
          <w:sz w:val="20"/>
          <w:szCs w:val="20"/>
          <w:vertAlign w:val="subscript"/>
        </w:rPr>
        <w:t>0.7</w:t>
      </w:r>
      <w:r>
        <w:rPr>
          <w:color w:val="auto"/>
          <w:sz w:val="20"/>
          <w:szCs w:val="20"/>
        </w:rPr>
        <w:t>Mn</w:t>
      </w:r>
      <w:r>
        <w:rPr>
          <w:color w:val="auto"/>
          <w:sz w:val="20"/>
          <w:szCs w:val="20"/>
          <w:vertAlign w:val="subscript"/>
        </w:rPr>
        <w:t>0.7</w:t>
      </w:r>
      <w:r>
        <w:rPr>
          <w:color w:val="auto"/>
          <w:sz w:val="20"/>
          <w:szCs w:val="20"/>
        </w:rPr>
        <w:t>Ni</w:t>
      </w:r>
      <w:r>
        <w:rPr>
          <w:color w:val="auto"/>
          <w:sz w:val="20"/>
          <w:szCs w:val="20"/>
          <w:vertAlign w:val="subscript"/>
        </w:rPr>
        <w:t>0.3</w:t>
      </w:r>
      <w:r>
        <w:rPr>
          <w:color w:val="auto"/>
          <w:sz w:val="20"/>
          <w:szCs w:val="20"/>
        </w:rPr>
        <w:t>O</w:t>
      </w:r>
      <w:r>
        <w:rPr>
          <w:color w:val="auto"/>
          <w:sz w:val="20"/>
          <w:szCs w:val="20"/>
          <w:vertAlign w:val="subscript"/>
        </w:rPr>
        <w:t xml:space="preserve">2 </w:t>
      </w:r>
      <w:r>
        <w:rPr>
          <w:color w:val="auto"/>
          <w:sz w:val="20"/>
          <w:szCs w:val="20"/>
        </w:rPr>
        <w:t>layered oxide cathode</w:t>
      </w:r>
      <w:r>
        <w:rPr>
          <w:color w:val="auto"/>
          <w:sz w:val="20"/>
          <w:szCs w:val="20"/>
        </w:rPr>
        <w:fldChar w:fldCharType="begin"/>
      </w:r>
      <w:r>
        <w:rPr>
          <w:color w:val="auto"/>
          <w:sz w:val="20"/>
          <w:szCs w:val="20"/>
        </w:rPr>
        <w:instrText xml:space="preserve"> ADDIN ZOTERO_ITEM CSL_CITATION {"citationID":"2KqBj3vn","properties":{"formattedCitation":"\\super [6]\\nosupersub{}","plainCitation":"[6]","noteIndex":0},"citationItems":[{"id":1087,"uris":["http://zotero.org/users/15782094/items/9BMTXEPE"],"itemData":{"id":1087,"type":"article-journal","abstract":"With high theoretical capacity and applicable operating voltage, layered transition metal oxides are potential cathodes for potassium-ion batteries (PIBs). However, a K+/vacancy ordered structure in these oxides limits the K+ transport kinetics and storage sites so that the PIBs still have poor rate performance and low achievable capacity. Here, to effectively resolve the problem, a K+/vacancy disordered P3-type structure is designed and synthesized by simply modulating the K+ contents in Mn/Ni-based layered oxides. The effect of the K+ contents in a series of KxMn0.7Ni0.3O2 (x = 0.4–0.7) oxides has been systematically studied and it is found that while the K+/vacancy ordered superstructure is stable at low K+ content (x &lt; 0.6), a complete K+/vacancy disordered structure forms at high K+ content (x &gt; 0.6), evidenced by selected area electron diffraction and voltage plateaus in the charge/discharge curves. The K+/vacancy disordered K0.7Mn0.7Ni0.3O2 exhibits much better rate performance and higher discharge capacity, compared to the K+/vacancy ordered K0.4Mn0.7Ni0.3O2. Molecular dynamic simulations confirm that the K+/vacancy disordered structure possesses interconnected continuous channels for K+ diffusion and more active storage sites. This discovery sheds light on rational design of K+/vacancy disordered layered oxide cathodes for next-generation high-performance PIBs.","container-title":"Energy &amp; Environmental Science","DOI":"10.1039/D0EE01607A","ISSN":"1754-5706","issue":"9","journalAbbreviation":"Energy Environ. Sci.","language":"en","note":"publisher: The Royal Society of Chemistry","page":"3129-3137","source":"pubs.rsc.org","title":"K+ modulated K+/vacancy disordered layered oxide for high-rate and high-capacity potassium-ion batteries","volume":"13","author":[{"family":"Xiao","given":"Zhitong"},{"family":"Meng","given":"Jiashen"},{"family":"Xia","given":"Fanjie"},{"family":"Wu","given":"Jinsong"},{"family":"Liu","given":"Fang"},{"family":"Zhang","given":"Xiao"},{"family":"Xu","given":"Linhan"},{"family":"Lin","given":"Xinming"},{"family":"Mai","given":"Liqiang"}],"issued":{"date-parts":[["2020",9,16]]}}}],"schema":"https://github.com/citation-style-language/schema/raw/master/csl-citation.json"} </w:instrText>
      </w:r>
      <w:r>
        <w:rPr>
          <w:color w:val="auto"/>
          <w:sz w:val="20"/>
          <w:szCs w:val="20"/>
        </w:rPr>
        <w:fldChar w:fldCharType="separate"/>
      </w:r>
      <w:r>
        <w:rPr>
          <w:color w:val="auto"/>
          <w:sz w:val="20"/>
          <w:vertAlign w:val="superscript"/>
        </w:rPr>
        <w:t>[6]</w:t>
      </w:r>
      <w:r>
        <w:rPr>
          <w:color w:val="auto"/>
          <w:sz w:val="20"/>
          <w:szCs w:val="20"/>
        </w:rPr>
        <w:fldChar w:fldCharType="end"/>
      </w:r>
      <w:r>
        <w:rPr>
          <w:rFonts w:hint="eastAsia" w:asciiTheme="minorEastAsia" w:hAnsiTheme="minorEastAsia" w:eastAsiaTheme="minorEastAsia"/>
          <w:color w:val="auto"/>
          <w:sz w:val="20"/>
          <w:szCs w:val="20"/>
          <w:lang w:eastAsia="zh-CN"/>
        </w:rPr>
        <w:t>.</w:t>
      </w:r>
      <w:r>
        <w:rPr>
          <w:color w:val="auto"/>
          <w:sz w:val="20"/>
          <w:szCs w:val="20"/>
        </w:rPr>
        <w:t xml:space="preserve"> The key parameters used for the calculation are listed in Table S1.</w:t>
      </w:r>
    </w:p>
    <w:p w14:paraId="7B4636A1">
      <w:pPr>
        <w:pStyle w:val="58"/>
        <w:shd w:val="clear" w:color="auto" w:fill="FFFFFF"/>
        <w:spacing w:after="270" w:afterAutospacing="0" w:line="300" w:lineRule="atLeast"/>
        <w:jc w:val="center"/>
        <w:rPr>
          <w:rStyle w:val="59"/>
          <w:rFonts w:ascii="Times New Roman" w:hAnsi="Times New Roman" w:cs="Times New Roman"/>
          <w:color w:val="auto"/>
          <w:sz w:val="21"/>
          <w:szCs w:val="21"/>
        </w:rPr>
      </w:pPr>
      <w:r>
        <w:rPr>
          <w:rStyle w:val="59"/>
          <w:rFonts w:ascii="Times New Roman" w:hAnsi="Times New Roman" w:cs="Times New Roman"/>
          <w:b/>
          <w:bCs/>
          <w:color w:val="auto"/>
          <w:sz w:val="21"/>
          <w:szCs w:val="21"/>
        </w:rPr>
        <w:t>Table S1.</w:t>
      </w:r>
      <w:r>
        <w:rPr>
          <w:rStyle w:val="59"/>
          <w:rFonts w:ascii="Times New Roman" w:hAnsi="Times New Roman" w:cs="Times New Roman"/>
          <w:color w:val="auto"/>
          <w:sz w:val="21"/>
          <w:szCs w:val="21"/>
        </w:rPr>
        <w:t> Electrochemical parameters for full-cell energy density calculation.</w:t>
      </w:r>
    </w:p>
    <w:tbl>
      <w:tblPr>
        <w:tblStyle w:val="11"/>
        <w:tblW w:w="5000" w:type="pct"/>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38"/>
        <w:gridCol w:w="1962"/>
        <w:gridCol w:w="2560"/>
        <w:gridCol w:w="2326"/>
        <w:gridCol w:w="1302"/>
      </w:tblGrid>
      <w:tr w14:paraId="344A0CD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613" w:type="pct"/>
            <w:tcBorders>
              <w:top w:val="single" w:color="auto" w:sz="12" w:space="0"/>
              <w:bottom w:val="single" w:color="auto" w:sz="6" w:space="0"/>
            </w:tcBorders>
            <w:vAlign w:val="center"/>
          </w:tcPr>
          <w:p w14:paraId="1FC93447">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Electrode</w:t>
            </w:r>
          </w:p>
        </w:tc>
        <w:tc>
          <w:tcPr>
            <w:tcW w:w="1056" w:type="pct"/>
            <w:tcBorders>
              <w:top w:val="single" w:color="auto" w:sz="12" w:space="0"/>
              <w:bottom w:val="single" w:color="auto" w:sz="6" w:space="0"/>
            </w:tcBorders>
            <w:vAlign w:val="center"/>
          </w:tcPr>
          <w:p w14:paraId="43B23DF8">
            <w:pPr>
              <w:pStyle w:val="58"/>
              <w:spacing w:after="270" w:afterAutospacing="0" w:line="300" w:lineRule="atLeast"/>
              <w:jc w:val="center"/>
              <w:rPr>
                <w:rStyle w:val="59"/>
                <w:rFonts w:ascii="Times New Roman" w:hAnsi="Times New Roman" w:cs="Times New Roman"/>
                <w:color w:val="auto"/>
                <w:sz w:val="21"/>
                <w:szCs w:val="21"/>
              </w:rPr>
            </w:pPr>
            <w:r>
              <w:rPr>
                <w:rStyle w:val="59"/>
                <w:rFonts w:ascii="Times New Roman" w:hAnsi="Times New Roman" w:cs="Times New Roman"/>
                <w:color w:val="auto"/>
                <w:sz w:val="21"/>
                <w:szCs w:val="21"/>
              </w:rPr>
              <w:t>Material</w:t>
            </w:r>
          </w:p>
        </w:tc>
        <w:tc>
          <w:tcPr>
            <w:tcW w:w="1378" w:type="pct"/>
            <w:tcBorders>
              <w:top w:val="single" w:color="auto" w:sz="12" w:space="0"/>
              <w:bottom w:val="single" w:color="auto" w:sz="6" w:space="0"/>
            </w:tcBorders>
            <w:vAlign w:val="center"/>
          </w:tcPr>
          <w:p w14:paraId="04E756D9">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Reversible Specific Capacity (Q)</w:t>
            </w:r>
          </w:p>
        </w:tc>
        <w:tc>
          <w:tcPr>
            <w:tcW w:w="1252" w:type="pct"/>
            <w:tcBorders>
              <w:top w:val="single" w:color="auto" w:sz="12" w:space="0"/>
              <w:bottom w:val="single" w:color="auto" w:sz="6" w:space="0"/>
            </w:tcBorders>
            <w:vAlign w:val="center"/>
          </w:tcPr>
          <w:p w14:paraId="39FB6826">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Average Voltage (V) vs. K/K</w:t>
            </w:r>
            <w:r>
              <w:rPr>
                <w:rStyle w:val="59"/>
                <w:rFonts w:ascii="Times New Roman" w:hAnsi="Times New Roman" w:eastAsia="MS Mincho" w:cs="Times New Roman"/>
                <w:color w:val="auto"/>
                <w:sz w:val="21"/>
                <w:szCs w:val="21"/>
              </w:rPr>
              <w:t>⁺</w:t>
            </w:r>
          </w:p>
        </w:tc>
        <w:tc>
          <w:tcPr>
            <w:tcW w:w="701" w:type="pct"/>
            <w:tcBorders>
              <w:top w:val="single" w:color="auto" w:sz="12" w:space="0"/>
              <w:bottom w:val="single" w:color="auto" w:sz="6" w:space="0"/>
            </w:tcBorders>
            <w:vAlign w:val="center"/>
          </w:tcPr>
          <w:p w14:paraId="7CD73ECF">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Source</w:t>
            </w:r>
          </w:p>
        </w:tc>
      </w:tr>
      <w:tr w14:paraId="3A850B6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613" w:type="pct"/>
            <w:tcBorders>
              <w:top w:val="single" w:color="auto" w:sz="6" w:space="0"/>
            </w:tcBorders>
            <w:vAlign w:val="center"/>
          </w:tcPr>
          <w:p w14:paraId="17DAAD75">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Anode</w:t>
            </w:r>
          </w:p>
        </w:tc>
        <w:tc>
          <w:tcPr>
            <w:tcW w:w="1056" w:type="pct"/>
            <w:tcBorders>
              <w:top w:val="single" w:color="auto" w:sz="6" w:space="0"/>
            </w:tcBorders>
            <w:vAlign w:val="center"/>
          </w:tcPr>
          <w:p w14:paraId="7B99BBF8">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Ni-BTA</w:t>
            </w:r>
          </w:p>
        </w:tc>
        <w:tc>
          <w:tcPr>
            <w:tcW w:w="1378" w:type="pct"/>
            <w:tcBorders>
              <w:top w:val="single" w:color="auto" w:sz="6" w:space="0"/>
            </w:tcBorders>
            <w:vAlign w:val="center"/>
          </w:tcPr>
          <w:p w14:paraId="3B3D1AD3">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452 mAh g</w:t>
            </w:r>
            <w:r>
              <w:rPr>
                <w:rStyle w:val="59"/>
                <w:rFonts w:ascii="Times New Roman" w:hAnsi="Times New Roman" w:eastAsia="MS Mincho" w:cs="Times New Roman"/>
                <w:color w:val="auto"/>
                <w:sz w:val="21"/>
                <w:szCs w:val="21"/>
              </w:rPr>
              <w:t>⁻</w:t>
            </w:r>
            <w:r>
              <w:rPr>
                <w:rStyle w:val="59"/>
                <w:rFonts w:ascii="Times New Roman" w:hAnsi="Times New Roman" w:cs="Times New Roman"/>
                <w:color w:val="auto"/>
                <w:sz w:val="21"/>
                <w:szCs w:val="21"/>
              </w:rPr>
              <w:t>¹ (Qa)</w:t>
            </w:r>
          </w:p>
        </w:tc>
        <w:tc>
          <w:tcPr>
            <w:tcW w:w="1252" w:type="pct"/>
            <w:tcBorders>
              <w:top w:val="single" w:color="auto" w:sz="6" w:space="0"/>
            </w:tcBorders>
            <w:vAlign w:val="center"/>
          </w:tcPr>
          <w:p w14:paraId="323AE8C5">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0.8 V (V</w:t>
            </w:r>
            <w:r>
              <w:rPr>
                <w:rStyle w:val="59"/>
                <w:rFonts w:ascii="Times New Roman" w:hAnsi="Times New Roman" w:cs="Times New Roman"/>
                <w:i/>
                <w:iCs/>
                <w:color w:val="auto"/>
                <w:sz w:val="21"/>
                <w:szCs w:val="21"/>
                <w:vertAlign w:val="subscript"/>
              </w:rPr>
              <w:t>a</w:t>
            </w:r>
            <w:r>
              <w:rPr>
                <w:rStyle w:val="59"/>
                <w:rFonts w:ascii="Times New Roman" w:hAnsi="Times New Roman" w:cs="Times New Roman"/>
                <w:color w:val="auto"/>
                <w:sz w:val="21"/>
                <w:szCs w:val="21"/>
              </w:rPr>
              <w:t>)</w:t>
            </w:r>
          </w:p>
        </w:tc>
        <w:tc>
          <w:tcPr>
            <w:tcW w:w="701" w:type="pct"/>
            <w:tcBorders>
              <w:top w:val="single" w:color="auto" w:sz="6" w:space="0"/>
            </w:tcBorders>
            <w:vAlign w:val="center"/>
          </w:tcPr>
          <w:p w14:paraId="1900986C">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This work</w:t>
            </w:r>
          </w:p>
        </w:tc>
      </w:tr>
      <w:tr w14:paraId="7901815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613" w:type="pct"/>
            <w:vAlign w:val="center"/>
          </w:tcPr>
          <w:p w14:paraId="1D131815">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Cathode</w:t>
            </w:r>
          </w:p>
        </w:tc>
        <w:tc>
          <w:tcPr>
            <w:tcW w:w="1056" w:type="pct"/>
            <w:vAlign w:val="center"/>
          </w:tcPr>
          <w:p w14:paraId="0784538A">
            <w:pPr>
              <w:pStyle w:val="58"/>
              <w:spacing w:after="270" w:afterAutospacing="0" w:line="300" w:lineRule="atLeast"/>
              <w:jc w:val="center"/>
              <w:rPr>
                <w:rFonts w:ascii="Times New Roman" w:hAnsi="Times New Roman" w:cs="Times New Roman"/>
                <w:color w:val="auto"/>
                <w:sz w:val="21"/>
                <w:szCs w:val="21"/>
              </w:rPr>
            </w:pPr>
            <w:bookmarkStart w:id="1" w:name="_Hlk202305320"/>
            <w:r>
              <w:rPr>
                <w:rStyle w:val="59"/>
                <w:rFonts w:ascii="Times New Roman" w:hAnsi="Times New Roman" w:cs="Times New Roman"/>
                <w:color w:val="auto"/>
                <w:sz w:val="21"/>
                <w:szCs w:val="21"/>
              </w:rPr>
              <w:t>K</w:t>
            </w:r>
            <w:r>
              <w:rPr>
                <w:rStyle w:val="59"/>
                <w:rFonts w:ascii="Times New Roman" w:hAnsi="Times New Roman" w:cs="Times New Roman"/>
                <w:color w:val="auto"/>
                <w:sz w:val="21"/>
                <w:szCs w:val="21"/>
                <w:vertAlign w:val="subscript"/>
              </w:rPr>
              <w:t>0.7</w:t>
            </w:r>
            <w:r>
              <w:rPr>
                <w:rStyle w:val="59"/>
                <w:rFonts w:ascii="Times New Roman" w:hAnsi="Times New Roman" w:cs="Times New Roman"/>
                <w:color w:val="auto"/>
                <w:sz w:val="21"/>
                <w:szCs w:val="21"/>
              </w:rPr>
              <w:t>Mn</w:t>
            </w:r>
            <w:r>
              <w:rPr>
                <w:rStyle w:val="59"/>
                <w:rFonts w:ascii="Times New Roman" w:hAnsi="Times New Roman" w:cs="Times New Roman" w:eastAsiaTheme="minorEastAsia"/>
                <w:color w:val="auto"/>
                <w:sz w:val="21"/>
                <w:szCs w:val="21"/>
                <w:vertAlign w:val="subscript"/>
              </w:rPr>
              <w:t>0.7</w:t>
            </w:r>
            <w:r>
              <w:rPr>
                <w:rStyle w:val="59"/>
                <w:rFonts w:ascii="Times New Roman" w:hAnsi="Times New Roman" w:cs="Times New Roman"/>
                <w:color w:val="auto"/>
                <w:sz w:val="21"/>
                <w:szCs w:val="21"/>
              </w:rPr>
              <w:t>Ni</w:t>
            </w:r>
            <w:r>
              <w:rPr>
                <w:rStyle w:val="59"/>
                <w:rFonts w:ascii="Times New Roman" w:hAnsi="Times New Roman" w:cs="Times New Roman" w:eastAsiaTheme="minorEastAsia"/>
                <w:color w:val="auto"/>
                <w:sz w:val="21"/>
                <w:szCs w:val="21"/>
                <w:vertAlign w:val="subscript"/>
              </w:rPr>
              <w:t>0.3</w:t>
            </w:r>
            <w:r>
              <w:rPr>
                <w:rStyle w:val="59"/>
                <w:rFonts w:ascii="Times New Roman" w:hAnsi="Times New Roman" w:cs="Times New Roman"/>
                <w:color w:val="auto"/>
                <w:sz w:val="21"/>
                <w:szCs w:val="21"/>
              </w:rPr>
              <w:t>O</w:t>
            </w:r>
            <w:r>
              <w:rPr>
                <w:rStyle w:val="59"/>
                <w:rFonts w:ascii="Times New Roman" w:hAnsi="Times New Roman" w:cs="Times New Roman"/>
                <w:color w:val="auto"/>
                <w:sz w:val="21"/>
                <w:szCs w:val="21"/>
                <w:vertAlign w:val="subscript"/>
              </w:rPr>
              <w:t>2</w:t>
            </w:r>
            <w:bookmarkEnd w:id="1"/>
          </w:p>
        </w:tc>
        <w:tc>
          <w:tcPr>
            <w:tcW w:w="1378" w:type="pct"/>
            <w:vAlign w:val="center"/>
          </w:tcPr>
          <w:p w14:paraId="008F90CF">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125.4 mAh g</w:t>
            </w:r>
            <w:r>
              <w:rPr>
                <w:rStyle w:val="59"/>
                <w:rFonts w:ascii="Times New Roman" w:hAnsi="Times New Roman" w:eastAsia="MS Mincho" w:cs="Times New Roman"/>
                <w:color w:val="auto"/>
                <w:sz w:val="21"/>
                <w:szCs w:val="21"/>
              </w:rPr>
              <w:t>⁻</w:t>
            </w:r>
            <w:r>
              <w:rPr>
                <w:rStyle w:val="59"/>
                <w:rFonts w:ascii="Times New Roman" w:hAnsi="Times New Roman" w:cs="Times New Roman"/>
                <w:color w:val="auto"/>
                <w:sz w:val="21"/>
                <w:szCs w:val="21"/>
              </w:rPr>
              <w:t>¹ (Qc)</w:t>
            </w:r>
          </w:p>
        </w:tc>
        <w:tc>
          <w:tcPr>
            <w:tcW w:w="1252" w:type="pct"/>
            <w:vAlign w:val="center"/>
          </w:tcPr>
          <w:p w14:paraId="1EB30B00">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3.0 V (V</w:t>
            </w:r>
            <w:r>
              <w:rPr>
                <w:rStyle w:val="59"/>
                <w:rFonts w:ascii="Times New Roman" w:hAnsi="Times New Roman" w:cs="Times New Roman"/>
                <w:i/>
                <w:iCs/>
                <w:color w:val="auto"/>
                <w:sz w:val="21"/>
                <w:szCs w:val="21"/>
                <w:vertAlign w:val="subscript"/>
              </w:rPr>
              <w:t>c</w:t>
            </w:r>
            <w:r>
              <w:rPr>
                <w:rStyle w:val="59"/>
                <w:rFonts w:ascii="Times New Roman" w:hAnsi="Times New Roman" w:cs="Times New Roman"/>
                <w:color w:val="auto"/>
                <w:sz w:val="21"/>
                <w:szCs w:val="21"/>
              </w:rPr>
              <w:t>)</w:t>
            </w:r>
          </w:p>
        </w:tc>
        <w:tc>
          <w:tcPr>
            <w:tcW w:w="701" w:type="pct"/>
            <w:vAlign w:val="center"/>
          </w:tcPr>
          <w:p w14:paraId="55B9C283">
            <w:pPr>
              <w:pStyle w:val="58"/>
              <w:spacing w:after="270" w:afterAutospacing="0" w:line="300" w:lineRule="atLeast"/>
              <w:jc w:val="center"/>
              <w:rPr>
                <w:rFonts w:ascii="Times New Roman" w:hAnsi="Times New Roman" w:cs="Times New Roman"/>
                <w:color w:val="auto"/>
                <w:sz w:val="21"/>
                <w:szCs w:val="21"/>
              </w:rPr>
            </w:pPr>
            <w:r>
              <w:rPr>
                <w:rStyle w:val="59"/>
                <w:rFonts w:ascii="Times New Roman" w:hAnsi="Times New Roman" w:cs="Times New Roman"/>
                <w:color w:val="auto"/>
                <w:sz w:val="21"/>
                <w:szCs w:val="21"/>
              </w:rPr>
              <w:t>Ref</w:t>
            </w:r>
            <w:r>
              <w:rPr>
                <w:rStyle w:val="59"/>
                <w:rFonts w:hint="eastAsia" w:ascii="Times New Roman" w:hAnsi="Times New Roman" w:cs="Times New Roman"/>
                <w:color w:val="auto"/>
                <w:sz w:val="21"/>
                <w:szCs w:val="21"/>
              </w:rPr>
              <w:t>.</w:t>
            </w:r>
            <w:r>
              <w:rPr>
                <w:rStyle w:val="59"/>
                <w:rFonts w:ascii="Times New Roman" w:hAnsi="Times New Roman" w:cs="Times New Roman"/>
                <w:color w:val="auto"/>
                <w:sz w:val="21"/>
                <w:szCs w:val="21"/>
              </w:rPr>
              <w:t xml:space="preserve"> 6</w:t>
            </w:r>
            <w:r>
              <w:rPr>
                <w:rFonts w:ascii="Times New Roman" w:hAnsi="Times New Roman" w:cs="Times New Roman"/>
                <w:color w:val="auto"/>
                <w:sz w:val="21"/>
                <w:szCs w:val="21"/>
              </w:rPr>
              <w:t xml:space="preserve"> </w:t>
            </w:r>
          </w:p>
        </w:tc>
      </w:tr>
    </w:tbl>
    <w:p w14:paraId="4FAAB64C">
      <w:pPr>
        <w:pStyle w:val="58"/>
        <w:shd w:val="clear" w:color="auto" w:fill="FFFFFF"/>
        <w:spacing w:after="270" w:afterAutospacing="0" w:line="288" w:lineRule="auto"/>
        <w:jc w:val="both"/>
        <w:rPr>
          <w:rFonts w:ascii="Times New Roman" w:hAnsi="Times New Roman" w:cs="Times New Roman"/>
          <w:color w:val="auto"/>
          <w:sz w:val="21"/>
          <w:szCs w:val="21"/>
        </w:rPr>
      </w:pPr>
      <w:r>
        <w:rPr>
          <w:rStyle w:val="59"/>
          <w:rFonts w:ascii="Times New Roman" w:hAnsi="Times New Roman" w:cs="Times New Roman"/>
          <w:color w:val="auto"/>
          <w:sz w:val="21"/>
          <w:szCs w:val="21"/>
        </w:rPr>
        <w:t>The average operating voltage of the full cell (V</w:t>
      </w:r>
      <w:r>
        <w:rPr>
          <w:rStyle w:val="59"/>
          <w:rFonts w:ascii="Times New Roman" w:hAnsi="Times New Roman" w:cs="Times New Roman"/>
          <w:i/>
          <w:iCs/>
          <w:color w:val="auto"/>
          <w:sz w:val="21"/>
          <w:szCs w:val="21"/>
          <w:vertAlign w:val="subscript"/>
        </w:rPr>
        <w:t>cell</w:t>
      </w:r>
      <w:r>
        <w:rPr>
          <w:rStyle w:val="59"/>
          <w:rFonts w:ascii="Times New Roman" w:hAnsi="Times New Roman" w:cs="Times New Roman"/>
          <w:color w:val="auto"/>
          <w:sz w:val="21"/>
          <w:szCs w:val="21"/>
        </w:rPr>
        <w:t>) was first calculated as the difference between the average potentials of the cathode (</w:t>
      </w:r>
      <w:bookmarkStart w:id="2" w:name="_Hlk202305445"/>
      <w:r>
        <w:rPr>
          <w:rStyle w:val="59"/>
          <w:rFonts w:ascii="Times New Roman" w:hAnsi="Times New Roman" w:cs="Times New Roman"/>
          <w:color w:val="auto"/>
          <w:sz w:val="21"/>
          <w:szCs w:val="21"/>
        </w:rPr>
        <w:t>V</w:t>
      </w:r>
      <w:r>
        <w:rPr>
          <w:rStyle w:val="59"/>
          <w:rFonts w:ascii="Times New Roman" w:hAnsi="Times New Roman" w:cs="Times New Roman"/>
          <w:i/>
          <w:iCs/>
          <w:color w:val="auto"/>
          <w:sz w:val="21"/>
          <w:szCs w:val="21"/>
          <w:vertAlign w:val="subscript"/>
        </w:rPr>
        <w:t>c</w:t>
      </w:r>
      <w:bookmarkEnd w:id="2"/>
      <w:r>
        <w:rPr>
          <w:rStyle w:val="59"/>
          <w:rFonts w:ascii="Times New Roman" w:hAnsi="Times New Roman" w:cs="Times New Roman"/>
          <w:color w:val="auto"/>
          <w:sz w:val="21"/>
          <w:szCs w:val="21"/>
        </w:rPr>
        <w:t>) and the anode (</w:t>
      </w:r>
      <w:bookmarkStart w:id="3" w:name="_Hlk202305452"/>
      <w:r>
        <w:rPr>
          <w:rStyle w:val="59"/>
          <w:rFonts w:ascii="Times New Roman" w:hAnsi="Times New Roman" w:cs="Times New Roman"/>
          <w:color w:val="auto"/>
          <w:sz w:val="21"/>
          <w:szCs w:val="21"/>
        </w:rPr>
        <w:t>V</w:t>
      </w:r>
      <w:r>
        <w:rPr>
          <w:rStyle w:val="59"/>
          <w:rFonts w:ascii="Times New Roman" w:hAnsi="Times New Roman" w:cs="Times New Roman"/>
          <w:i/>
          <w:iCs/>
          <w:color w:val="auto"/>
          <w:sz w:val="21"/>
          <w:szCs w:val="21"/>
          <w:vertAlign w:val="subscript"/>
        </w:rPr>
        <w:t>a</w:t>
      </w:r>
      <w:bookmarkEnd w:id="3"/>
      <w:r>
        <w:rPr>
          <w:rStyle w:val="59"/>
          <w:rFonts w:ascii="Times New Roman" w:hAnsi="Times New Roman" w:cs="Times New Roman"/>
          <w:color w:val="auto"/>
          <w:sz w:val="21"/>
          <w:szCs w:val="21"/>
        </w:rPr>
        <w:t>):</w:t>
      </w:r>
    </w:p>
    <w:p w14:paraId="63206C88">
      <w:pPr>
        <w:pStyle w:val="58"/>
        <w:shd w:val="clear" w:color="auto" w:fill="FFFFFF"/>
        <w:spacing w:after="270" w:afterAutospacing="0" w:line="288" w:lineRule="auto"/>
        <w:jc w:val="both"/>
        <w:rPr>
          <w:rFonts w:ascii="Times New Roman" w:hAnsi="Times New Roman" w:cs="Times New Roman"/>
          <w:color w:val="auto"/>
          <w:sz w:val="21"/>
          <w:szCs w:val="21"/>
        </w:rPr>
      </w:pPr>
      <m:oMathPara>
        <m:oMath>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V</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cell</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V</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V</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=3.0</m:t>
          </m:r>
          <m:r>
            <m:rPr>
              <m:nor/>
              <m:sty m:val="p"/>
            </m:rPr>
            <w:rPr>
              <w:rStyle w:val="60"/>
              <w:rFonts w:ascii="Times New Roman" w:hAnsi="Times New Roman" w:cs="Times New Roman"/>
              <w:b w:val="0"/>
              <w:i w:val="0"/>
              <w:color w:val="auto"/>
              <w:sz w:val="20"/>
              <w:szCs w:val="20"/>
              <w:bdr w:val="single" w:color="FFFFFF" w:sz="6" w:space="0"/>
            </w:rPr>
            <m:t xml:space="preserve"> V</m:t>
          </m:r>
          <m:r>
            <m:rPr/>
            <w:rPr>
              <w:rStyle w:val="60"/>
              <w:rFonts w:ascii="Cambria Math" w:hAnsi="Cambria Math" w:cs="Times New Roman"/>
              <w:color w:val="auto"/>
              <w:sz w:val="20"/>
              <w:szCs w:val="20"/>
              <w:bdr w:val="single" w:color="FFFFFF" w:sz="6" w:space="0"/>
            </w:rPr>
            <m:t>−0.8</m:t>
          </m:r>
          <m:r>
            <m:rPr>
              <m:nor/>
              <m:sty m:val="p"/>
            </m:rPr>
            <w:rPr>
              <w:rStyle w:val="60"/>
              <w:rFonts w:ascii="Times New Roman" w:hAnsi="Times New Roman" w:cs="Times New Roman"/>
              <w:b w:val="0"/>
              <w:i w:val="0"/>
              <w:color w:val="auto"/>
              <w:sz w:val="20"/>
              <w:szCs w:val="20"/>
              <w:bdr w:val="single" w:color="FFFFFF" w:sz="6" w:space="0"/>
            </w:rPr>
            <m:t xml:space="preserve"> V</m:t>
          </m:r>
          <m:r>
            <m:rPr/>
            <w:rPr>
              <w:rStyle w:val="60"/>
              <w:rFonts w:ascii="Cambria Math" w:hAnsi="Cambria Math" w:cs="Times New Roman"/>
              <w:color w:val="auto"/>
              <w:sz w:val="20"/>
              <w:szCs w:val="20"/>
              <w:bdr w:val="single" w:color="FFFFFF" w:sz="6" w:space="0"/>
            </w:rPr>
            <m:t>=2.2</m:t>
          </m:r>
          <m:r>
            <m:rPr>
              <m:nor/>
              <m:sty m:val="p"/>
            </m:rPr>
            <w:rPr>
              <w:rStyle w:val="60"/>
              <w:rFonts w:ascii="Times New Roman" w:hAnsi="Times New Roman" w:cs="Times New Roman"/>
              <w:b w:val="0"/>
              <w:i w:val="0"/>
              <w:color w:val="auto"/>
              <w:sz w:val="20"/>
              <w:szCs w:val="20"/>
              <w:bdr w:val="single" w:color="FFFFFF" w:sz="6" w:space="0"/>
            </w:rPr>
            <m:t xml:space="preserve"> V</m:t>
          </m:r>
        </m:oMath>
      </m:oMathPara>
    </w:p>
    <w:p w14:paraId="6DF07EF6">
      <w:pPr>
        <w:pStyle w:val="58"/>
        <w:shd w:val="clear" w:color="auto" w:fill="FFFFFF"/>
        <w:spacing w:after="270" w:afterAutospacing="0" w:line="288" w:lineRule="auto"/>
        <w:jc w:val="both"/>
        <w:rPr>
          <w:rFonts w:ascii="Times New Roman" w:hAnsi="Times New Roman" w:cs="Times New Roman"/>
          <w:color w:val="auto"/>
          <w:sz w:val="21"/>
          <w:szCs w:val="21"/>
        </w:rPr>
      </w:pPr>
      <w:r>
        <w:rPr>
          <w:rStyle w:val="59"/>
          <w:rFonts w:ascii="Times New Roman" w:hAnsi="Times New Roman" w:cs="Times New Roman"/>
          <w:color w:val="auto"/>
          <w:sz w:val="21"/>
          <w:szCs w:val="21"/>
        </w:rPr>
        <w:t>Next, the electrode mass balance was established. To prevent hazardous potassium metal plating, a standard negative-to-positive capacity ratio (N/P ratio) of 1.1 was adopted. The required mass ratio of the anode active material (m</w:t>
      </w:r>
      <w:r>
        <w:rPr>
          <w:rStyle w:val="59"/>
          <w:rFonts w:ascii="Times New Roman" w:hAnsi="Times New Roman" w:cs="Times New Roman"/>
          <w:i/>
          <w:iCs/>
          <w:color w:val="auto"/>
          <w:sz w:val="21"/>
          <w:szCs w:val="21"/>
          <w:vertAlign w:val="subscript"/>
        </w:rPr>
        <w:t>a</w:t>
      </w:r>
      <w:r>
        <w:rPr>
          <w:rStyle w:val="59"/>
          <w:rFonts w:ascii="Times New Roman" w:hAnsi="Times New Roman" w:cs="Times New Roman"/>
          <w:color w:val="auto"/>
          <w:sz w:val="21"/>
          <w:szCs w:val="21"/>
        </w:rPr>
        <w:t>) to the cathode active material (m</w:t>
      </w:r>
      <w:r>
        <w:rPr>
          <w:rStyle w:val="59"/>
          <w:rFonts w:ascii="Times New Roman" w:hAnsi="Times New Roman" w:cs="Times New Roman"/>
          <w:i/>
          <w:iCs/>
          <w:color w:val="auto"/>
          <w:sz w:val="21"/>
          <w:szCs w:val="21"/>
          <w:vertAlign w:val="subscript"/>
        </w:rPr>
        <w:t>c</w:t>
      </w:r>
      <w:r>
        <w:rPr>
          <w:rStyle w:val="59"/>
          <w:rFonts w:ascii="Times New Roman" w:hAnsi="Times New Roman" w:cs="Times New Roman"/>
          <w:color w:val="auto"/>
          <w:sz w:val="21"/>
          <w:szCs w:val="21"/>
        </w:rPr>
        <w:t>) was then determined by:</w:t>
      </w:r>
    </w:p>
    <w:p w14:paraId="3E43903D">
      <w:pPr>
        <w:pStyle w:val="58"/>
        <w:shd w:val="clear" w:color="auto" w:fill="FFFFFF"/>
        <w:spacing w:after="270" w:afterAutospacing="0" w:line="288" w:lineRule="auto"/>
        <w:jc w:val="both"/>
        <w:rPr>
          <w:rFonts w:ascii="Times New Roman" w:hAnsi="Times New Roman" w:cs="Times New Roman"/>
          <w:color w:val="auto"/>
          <w:sz w:val="21"/>
          <w:szCs w:val="21"/>
        </w:rPr>
      </w:pPr>
      <m:oMathPara>
        <m:oMath>
          <m:f>
            <m:fPr>
              <m:ctrlPr>
                <w:rPr>
                  <w:rStyle w:val="60"/>
                  <w:rFonts w:ascii="Cambria Math" w:hAnsi="Cambria Math" w:cs="Times New Roman"/>
                  <w:color w:val="auto"/>
                  <w:sz w:val="20"/>
                  <w:szCs w:val="20"/>
                  <w:bdr w:val="single" w:color="FFFFFF" w:sz="6" w:space="0"/>
                </w:rPr>
              </m:ctrlPr>
            </m:fPr>
            <m:num>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num>
            <m:den>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den>
          </m:f>
          <m:r>
            <m:rPr/>
            <w:rPr>
              <w:rStyle w:val="60"/>
              <w:rFonts w:ascii="Cambria Math" w:hAnsi="Cambria Math" w:cs="Times New Roman"/>
              <w:color w:val="auto"/>
              <w:sz w:val="20"/>
              <w:szCs w:val="20"/>
              <w:bdr w:val="single" w:color="FFFFFF" w:sz="6" w:space="0"/>
            </w:rPr>
            <m:t>=</m:t>
          </m:r>
          <m:f>
            <m:fPr>
              <m:ctrlPr>
                <w:rPr>
                  <w:rStyle w:val="60"/>
                  <w:rFonts w:ascii="Cambria Math" w:hAnsi="Cambria Math" w:cs="Times New Roman"/>
                  <w:color w:val="auto"/>
                  <w:sz w:val="20"/>
                  <w:szCs w:val="20"/>
                  <w:bdr w:val="single" w:color="FFFFFF" w:sz="6" w:space="0"/>
                </w:rPr>
              </m:ctrlPr>
            </m:fPr>
            <m:num>
              <m:r>
                <m:rPr/>
                <w:rPr>
                  <w:rStyle w:val="60"/>
                  <w:rFonts w:ascii="Cambria Math" w:hAnsi="Cambria Math" w:cs="Times New Roman"/>
                  <w:color w:val="auto"/>
                  <w:sz w:val="20"/>
                  <w:szCs w:val="20"/>
                  <w:bdr w:val="single" w:color="FFFFFF" w:sz="6" w:space="0"/>
                </w:rPr>
                <m:t>N</m:t>
              </m:r>
              <m:r>
                <m:rPr>
                  <m:lit/>
                  <m:sty m:val="p"/>
                </m:rPr>
                <w:rPr>
                  <w:rStyle w:val="60"/>
                  <w:rFonts w:ascii="Cambria Math" w:hAnsi="Cambria Math" w:cs="Times New Roman"/>
                  <w:color w:val="auto"/>
                  <w:sz w:val="20"/>
                  <w:szCs w:val="20"/>
                  <w:bdr w:val="single" w:color="FFFFFF" w:sz="6" w:space="0"/>
                </w:rPr>
                <m:t>/</m:t>
              </m:r>
              <m:r>
                <m:rPr>
                  <m:sty m:val="p"/>
                </m:rPr>
                <w:rPr>
                  <w:rStyle w:val="60"/>
                  <w:rFonts w:ascii="Cambria Math" w:hAnsi="Cambria Math" w:cs="Times New Roman"/>
                  <w:color w:val="auto"/>
                  <w:sz w:val="20"/>
                  <w:szCs w:val="20"/>
                  <w:bdr w:val="single" w:color="FFFFFF" w:sz="6" w:space="0"/>
                </w:rPr>
                <m:t>P×</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Q</m:t>
                  </m:r>
                  <m:ctrlPr>
                    <w:rPr>
                      <w:rStyle w:val="60"/>
                      <w:rFonts w:ascii="Cambria Math" w:hAnsi="Cambria Math" w:cs="Times New Roman"/>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num>
            <m:den>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Q</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den>
          </m:f>
          <m:r>
            <m:rPr/>
            <w:rPr>
              <w:rStyle w:val="60"/>
              <w:rFonts w:ascii="Cambria Math" w:hAnsi="Cambria Math" w:cs="Times New Roman"/>
              <w:color w:val="auto"/>
              <w:sz w:val="20"/>
              <w:szCs w:val="20"/>
              <w:bdr w:val="single" w:color="FFFFFF" w:sz="6" w:space="0"/>
            </w:rPr>
            <m:t>=</m:t>
          </m:r>
          <m:f>
            <m:fPr>
              <m:ctrlPr>
                <w:rPr>
                  <w:rStyle w:val="60"/>
                  <w:rFonts w:ascii="Cambria Math" w:hAnsi="Cambria Math" w:cs="Times New Roman"/>
                  <w:color w:val="auto"/>
                  <w:sz w:val="20"/>
                  <w:szCs w:val="20"/>
                  <w:bdr w:val="single" w:color="FFFFFF" w:sz="6" w:space="0"/>
                </w:rPr>
              </m:ctrlPr>
            </m:fPr>
            <m:num>
              <m:r>
                <m:rPr/>
                <w:rPr>
                  <w:rStyle w:val="60"/>
                  <w:rFonts w:ascii="Cambria Math" w:hAnsi="Cambria Math" w:cs="Times New Roman"/>
                  <w:color w:val="auto"/>
                  <w:sz w:val="20"/>
                  <w:szCs w:val="20"/>
                  <w:bdr w:val="single" w:color="FFFFFF" w:sz="6" w:space="0"/>
                </w:rPr>
                <m:t>1.1</m:t>
              </m:r>
              <m:r>
                <m:rPr>
                  <m:sty m:val="p"/>
                </m:rPr>
                <w:rPr>
                  <w:rStyle w:val="60"/>
                  <w:rFonts w:ascii="Cambria Math" w:hAnsi="Cambria Math" w:cs="Times New Roman"/>
                  <w:color w:val="auto"/>
                  <w:sz w:val="20"/>
                  <w:szCs w:val="20"/>
                  <w:bdr w:val="single" w:color="FFFFFF" w:sz="6" w:space="0"/>
                </w:rPr>
                <m:t>×</m:t>
              </m:r>
              <m:r>
                <m:rPr/>
                <w:rPr>
                  <w:rStyle w:val="60"/>
                  <w:rFonts w:ascii="Cambria Math" w:hAnsi="Cambria Math" w:cs="Times New Roman"/>
                  <w:color w:val="auto"/>
                  <w:sz w:val="20"/>
                  <w:szCs w:val="20"/>
                  <w:bdr w:val="single" w:color="FFFFFF" w:sz="6" w:space="0"/>
                </w:rPr>
                <m:t>125.4</m:t>
              </m:r>
              <m:r>
                <m:rPr>
                  <m:nor/>
                  <m:sty m:val="p"/>
                </m:rPr>
                <w:rPr>
                  <w:rStyle w:val="60"/>
                  <w:rFonts w:ascii="Times New Roman" w:hAnsi="Times New Roman" w:cs="Times New Roman"/>
                  <w:b w:val="0"/>
                  <w:i w:val="0"/>
                  <w:color w:val="auto"/>
                  <w:sz w:val="20"/>
                  <w:szCs w:val="20"/>
                  <w:bdr w:val="single" w:color="FFFFFF" w:sz="6" w:space="0"/>
                </w:rPr>
                <m:t xml:space="preserve"> mAh </m:t>
              </m:r>
              <m:sSup>
                <m:sSupPr>
                  <m:ctrlPr>
                    <w:rPr>
                      <w:rStyle w:val="60"/>
                      <w:rFonts w:ascii="Cambria Math" w:hAnsi="Cambria Math" w:cs="Times New Roman"/>
                      <w:i/>
                      <w:color w:val="auto"/>
                      <w:sz w:val="20"/>
                      <w:szCs w:val="20"/>
                      <w:bdr w:val="single" w:color="FFFFFF" w:sz="6" w:space="0"/>
                    </w:rPr>
                  </m:ctrlPr>
                </m:sSupPr>
                <m:e>
                  <m:r>
                    <m:rPr>
                      <m:nor/>
                      <m:sty m:val="p"/>
                    </m:rPr>
                    <w:rPr>
                      <w:rStyle w:val="60"/>
                      <w:rFonts w:ascii="Times New Roman" w:hAnsi="Times New Roman" w:cs="Times New Roman"/>
                      <w:b w:val="0"/>
                      <w:i w:val="0"/>
                      <w:color w:val="auto"/>
                      <w:sz w:val="20"/>
                      <w:szCs w:val="20"/>
                      <w:bdr w:val="single" w:color="FFFFFF" w:sz="6" w:space="0"/>
                    </w:rPr>
                    <m:t>g</m:t>
                  </m:r>
                  <m:ctrlPr>
                    <w:rPr>
                      <w:rStyle w:val="60"/>
                      <w:rFonts w:ascii="Cambria Math" w:hAnsi="Cambria Math" w:cs="Times New Roman"/>
                      <w:color w:val="auto"/>
                      <w:sz w:val="20"/>
                      <w:szCs w:val="20"/>
                      <w:bdr w:val="single" w:color="FFFFFF" w:sz="6" w:space="0"/>
                    </w:rPr>
                  </m:ctrlPr>
                </m:e>
                <m:sup>
                  <m:r>
                    <m:rPr/>
                    <w:rPr>
                      <w:rStyle w:val="60"/>
                      <w:rFonts w:ascii="Cambria Math" w:hAnsi="Cambria Math" w:cs="Times New Roman"/>
                      <w:color w:val="auto"/>
                      <w:sz w:val="20"/>
                      <w:szCs w:val="20"/>
                      <w:bdr w:val="single" w:color="FFFFFF" w:sz="6" w:space="0"/>
                    </w:rPr>
                    <m:t>−1</m:t>
                  </m:r>
                  <m:ctrlPr>
                    <w:rPr>
                      <w:rStyle w:val="60"/>
                      <w:rFonts w:ascii="Cambria Math" w:hAnsi="Cambria Math" w:cs="Times New Roman"/>
                      <w:i/>
                      <w:color w:val="auto"/>
                      <w:sz w:val="20"/>
                      <w:szCs w:val="20"/>
                      <w:bdr w:val="single" w:color="FFFFFF" w:sz="6" w:space="0"/>
                    </w:rPr>
                  </m:ctrlPr>
                </m:sup>
              </m:sSup>
              <m:ctrlPr>
                <w:rPr>
                  <w:rStyle w:val="60"/>
                  <w:rFonts w:ascii="Cambria Math" w:hAnsi="Cambria Math" w:cs="Times New Roman"/>
                  <w:i/>
                  <w:color w:val="auto"/>
                  <w:sz w:val="20"/>
                  <w:szCs w:val="20"/>
                  <w:bdr w:val="single" w:color="FFFFFF" w:sz="6" w:space="0"/>
                </w:rPr>
              </m:ctrlPr>
            </m:num>
            <m:den>
              <m:r>
                <m:rPr/>
                <w:rPr>
                  <w:rStyle w:val="60"/>
                  <w:rFonts w:ascii="Cambria Math" w:hAnsi="Cambria Math" w:cs="Times New Roman"/>
                  <w:color w:val="auto"/>
                  <w:sz w:val="20"/>
                  <w:szCs w:val="20"/>
                  <w:bdr w:val="single" w:color="FFFFFF" w:sz="6" w:space="0"/>
                </w:rPr>
                <m:t>452</m:t>
              </m:r>
              <m:r>
                <m:rPr>
                  <m:nor/>
                  <m:sty m:val="p"/>
                </m:rPr>
                <w:rPr>
                  <w:rStyle w:val="60"/>
                  <w:rFonts w:ascii="Times New Roman" w:hAnsi="Times New Roman" w:cs="Times New Roman"/>
                  <w:b w:val="0"/>
                  <w:i w:val="0"/>
                  <w:color w:val="auto"/>
                  <w:sz w:val="20"/>
                  <w:szCs w:val="20"/>
                  <w:bdr w:val="single" w:color="FFFFFF" w:sz="6" w:space="0"/>
                </w:rPr>
                <m:t xml:space="preserve"> mAh </m:t>
              </m:r>
              <m:sSup>
                <m:sSupPr>
                  <m:ctrlPr>
                    <w:rPr>
                      <w:rStyle w:val="60"/>
                      <w:rFonts w:ascii="Cambria Math" w:hAnsi="Cambria Math" w:cs="Times New Roman"/>
                      <w:i/>
                      <w:color w:val="auto"/>
                      <w:sz w:val="20"/>
                      <w:szCs w:val="20"/>
                      <w:bdr w:val="single" w:color="FFFFFF" w:sz="6" w:space="0"/>
                    </w:rPr>
                  </m:ctrlPr>
                </m:sSupPr>
                <m:e>
                  <m:r>
                    <m:rPr>
                      <m:nor/>
                      <m:sty m:val="p"/>
                    </m:rPr>
                    <w:rPr>
                      <w:rStyle w:val="60"/>
                      <w:rFonts w:ascii="Times New Roman" w:hAnsi="Times New Roman" w:cs="Times New Roman"/>
                      <w:b w:val="0"/>
                      <w:i w:val="0"/>
                      <w:color w:val="auto"/>
                      <w:sz w:val="20"/>
                      <w:szCs w:val="20"/>
                      <w:bdr w:val="single" w:color="FFFFFF" w:sz="6" w:space="0"/>
                    </w:rPr>
                    <m:t>g</m:t>
                  </m:r>
                  <m:ctrlPr>
                    <w:rPr>
                      <w:rStyle w:val="60"/>
                      <w:rFonts w:ascii="Cambria Math" w:hAnsi="Cambria Math" w:cs="Times New Roman"/>
                      <w:color w:val="auto"/>
                      <w:sz w:val="20"/>
                      <w:szCs w:val="20"/>
                      <w:bdr w:val="single" w:color="FFFFFF" w:sz="6" w:space="0"/>
                    </w:rPr>
                  </m:ctrlPr>
                </m:e>
                <m:sup>
                  <m:r>
                    <m:rPr/>
                    <w:rPr>
                      <w:rStyle w:val="60"/>
                      <w:rFonts w:ascii="Cambria Math" w:hAnsi="Cambria Math" w:cs="Times New Roman"/>
                      <w:color w:val="auto"/>
                      <w:sz w:val="20"/>
                      <w:szCs w:val="20"/>
                      <w:bdr w:val="single" w:color="FFFFFF" w:sz="6" w:space="0"/>
                    </w:rPr>
                    <m:t>−1</m:t>
                  </m:r>
                  <m:ctrlPr>
                    <w:rPr>
                      <w:rStyle w:val="60"/>
                      <w:rFonts w:ascii="Cambria Math" w:hAnsi="Cambria Math" w:cs="Times New Roman"/>
                      <w:i/>
                      <w:color w:val="auto"/>
                      <w:sz w:val="20"/>
                      <w:szCs w:val="20"/>
                      <w:bdr w:val="single" w:color="FFFFFF" w:sz="6" w:space="0"/>
                    </w:rPr>
                  </m:ctrlPr>
                </m:sup>
              </m:sSup>
              <m:ctrlPr>
                <w:rPr>
                  <w:rStyle w:val="60"/>
                  <w:rFonts w:ascii="Cambria Math" w:hAnsi="Cambria Math" w:cs="Times New Roman"/>
                  <w:i/>
                  <w:color w:val="auto"/>
                  <w:sz w:val="20"/>
                  <w:szCs w:val="20"/>
                  <w:bdr w:val="single" w:color="FFFFFF" w:sz="6" w:space="0"/>
                </w:rPr>
              </m:ctrlPr>
            </m:den>
          </m:f>
          <m:r>
            <m:rPr>
              <m:sty m:val="p"/>
            </m:rPr>
            <w:rPr>
              <w:rStyle w:val="60"/>
              <w:rFonts w:ascii="Cambria Math" w:hAnsi="Cambria Math" w:cs="Times New Roman"/>
              <w:color w:val="auto"/>
              <w:sz w:val="20"/>
              <w:szCs w:val="20"/>
              <w:bdr w:val="single" w:color="FFFFFF" w:sz="6" w:space="0"/>
            </w:rPr>
            <m:t>≈</m:t>
          </m:r>
          <m:r>
            <m:rPr/>
            <w:rPr>
              <w:rStyle w:val="60"/>
              <w:rFonts w:ascii="Cambria Math" w:hAnsi="Cambria Math" w:cs="Times New Roman"/>
              <w:color w:val="auto"/>
              <w:sz w:val="20"/>
              <w:szCs w:val="20"/>
              <w:bdr w:val="single" w:color="FFFFFF" w:sz="6" w:space="0"/>
            </w:rPr>
            <m:t>0.305</m:t>
          </m:r>
        </m:oMath>
      </m:oMathPara>
    </w:p>
    <w:p w14:paraId="41014B27">
      <w:pPr>
        <w:pStyle w:val="58"/>
        <w:shd w:val="clear" w:color="auto" w:fill="FFFFFF"/>
        <w:spacing w:after="270" w:afterAutospacing="0" w:line="288" w:lineRule="auto"/>
        <w:jc w:val="both"/>
        <w:rPr>
          <w:rFonts w:ascii="Times New Roman" w:hAnsi="Times New Roman" w:cs="Times New Roman"/>
          <w:color w:val="auto"/>
          <w:sz w:val="21"/>
          <w:szCs w:val="21"/>
        </w:rPr>
      </w:pPr>
      <w:r>
        <w:rPr>
          <w:rStyle w:val="59"/>
          <w:rFonts w:ascii="Times New Roman" w:hAnsi="Times New Roman" w:cs="Times New Roman"/>
          <w:color w:val="auto"/>
          <w:sz w:val="21"/>
          <w:szCs w:val="21"/>
        </w:rPr>
        <w:t>With the N/P ratio greater than 1, the full cell is cathode-limited. Therefore, the specific capacity of the full cell (Q</w:t>
      </w:r>
      <w:r>
        <w:rPr>
          <w:rStyle w:val="59"/>
          <w:rFonts w:ascii="Times New Roman" w:hAnsi="Times New Roman" w:cs="Times New Roman"/>
          <w:i/>
          <w:iCs/>
          <w:color w:val="auto"/>
          <w:sz w:val="21"/>
          <w:szCs w:val="21"/>
          <w:vertAlign w:val="subscript"/>
        </w:rPr>
        <w:t>cell</w:t>
      </w:r>
      <w:r>
        <w:rPr>
          <w:rStyle w:val="59"/>
          <w:rFonts w:ascii="Times New Roman" w:hAnsi="Times New Roman" w:cs="Times New Roman"/>
          <w:color w:val="auto"/>
          <w:sz w:val="21"/>
          <w:szCs w:val="21"/>
        </w:rPr>
        <w:t>), normalized by the total mass of the active materials in both electrodes, was calculated as follows:</w:t>
      </w:r>
    </w:p>
    <w:p w14:paraId="69ACEC96">
      <w:pPr>
        <w:pStyle w:val="58"/>
        <w:shd w:val="clear" w:color="auto" w:fill="FFFFFF"/>
        <w:spacing w:after="270" w:afterAutospacing="0" w:line="288" w:lineRule="auto"/>
        <w:jc w:val="both"/>
        <w:rPr>
          <w:rFonts w:ascii="Times New Roman" w:hAnsi="Times New Roman" w:cs="Times New Roman"/>
          <w:color w:val="auto"/>
          <w:sz w:val="21"/>
          <w:szCs w:val="21"/>
        </w:rPr>
      </w:pPr>
      <m:oMathPara>
        <m:oMath>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Q</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cell</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m:t>
          </m:r>
          <m:f>
            <m:fPr>
              <m:ctrlPr>
                <w:rPr>
                  <w:rStyle w:val="60"/>
                  <w:rFonts w:ascii="Cambria Math" w:hAnsi="Cambria Math" w:cs="Times New Roman"/>
                  <w:color w:val="auto"/>
                  <w:sz w:val="20"/>
                  <w:szCs w:val="20"/>
                  <w:bdr w:val="single" w:color="FFFFFF" w:sz="6" w:space="0"/>
                </w:rPr>
              </m:ctrlPr>
            </m:fPr>
            <m:num>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Q</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r>
                <m:rPr>
                  <m:sty m:val="p"/>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num>
            <m:den>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den>
          </m:f>
          <m:r>
            <m:rPr/>
            <w:rPr>
              <w:rStyle w:val="60"/>
              <w:rFonts w:ascii="Cambria Math" w:hAnsi="Cambria Math" w:cs="Times New Roman"/>
              <w:color w:val="auto"/>
              <w:sz w:val="20"/>
              <w:szCs w:val="20"/>
              <w:bdr w:val="single" w:color="FFFFFF" w:sz="6" w:space="0"/>
            </w:rPr>
            <m:t>=</m:t>
          </m:r>
          <m:f>
            <m:fPr>
              <m:ctrlPr>
                <w:rPr>
                  <w:rStyle w:val="60"/>
                  <w:rFonts w:ascii="Cambria Math" w:hAnsi="Cambria Math" w:cs="Times New Roman"/>
                  <w:color w:val="auto"/>
                  <w:sz w:val="20"/>
                  <w:szCs w:val="20"/>
                  <w:bdr w:val="single" w:color="FFFFFF" w:sz="6" w:space="0"/>
                </w:rPr>
              </m:ctrlPr>
            </m:fPr>
            <m:num>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Q</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num>
            <m:den>
              <m:r>
                <m:rPr/>
                <w:rPr>
                  <w:rStyle w:val="60"/>
                  <w:rFonts w:ascii="Cambria Math" w:hAnsi="Cambria Math" w:cs="Times New Roman"/>
                  <w:color w:val="auto"/>
                  <w:sz w:val="20"/>
                  <w:szCs w:val="20"/>
                  <w:bdr w:val="single" w:color="FFFFFF" w:sz="6" w:space="0"/>
                </w:rPr>
                <m:t>1+</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m:t>
                  </m:r>
                  <m:ctrlPr>
                    <w:rPr>
                      <w:rStyle w:val="60"/>
                      <w:rFonts w:ascii="Cambria Math" w:hAnsi="Cambria Math" w:cs="Times New Roman"/>
                      <w:i/>
                      <w:color w:val="auto"/>
                      <w:sz w:val="20"/>
                      <w:szCs w:val="20"/>
                      <w:bdr w:val="single" w:color="FFFFFF" w:sz="6" w:space="0"/>
                    </w:rPr>
                  </m:ctrlPr>
                </m:sub>
              </m:sSub>
              <m:r>
                <m:rPr>
                  <m:lit/>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den>
          </m:f>
          <m:r>
            <m:rPr/>
            <w:rPr>
              <w:rStyle w:val="60"/>
              <w:rFonts w:ascii="Cambria Math" w:hAnsi="Cambria Math" w:cs="Times New Roman"/>
              <w:color w:val="auto"/>
              <w:sz w:val="20"/>
              <w:szCs w:val="20"/>
              <w:bdr w:val="single" w:color="FFFFFF" w:sz="6" w:space="0"/>
            </w:rPr>
            <m:t>=</m:t>
          </m:r>
          <m:f>
            <m:fPr>
              <m:ctrlPr>
                <w:rPr>
                  <w:rStyle w:val="60"/>
                  <w:rFonts w:ascii="Cambria Math" w:hAnsi="Cambria Math" w:cs="Times New Roman"/>
                  <w:color w:val="auto"/>
                  <w:sz w:val="20"/>
                  <w:szCs w:val="20"/>
                  <w:bdr w:val="single" w:color="FFFFFF" w:sz="6" w:space="0"/>
                </w:rPr>
              </m:ctrlPr>
            </m:fPr>
            <m:num>
              <m:r>
                <m:rPr/>
                <w:rPr>
                  <w:rStyle w:val="60"/>
                  <w:rFonts w:ascii="Cambria Math" w:hAnsi="Cambria Math" w:cs="Times New Roman"/>
                  <w:color w:val="auto"/>
                  <w:sz w:val="20"/>
                  <w:szCs w:val="20"/>
                  <w:bdr w:val="single" w:color="FFFFFF" w:sz="6" w:space="0"/>
                </w:rPr>
                <m:t>125.4</m:t>
              </m:r>
              <m:r>
                <m:rPr>
                  <m:nor/>
                  <m:sty m:val="p"/>
                </m:rPr>
                <w:rPr>
                  <w:rStyle w:val="60"/>
                  <w:rFonts w:ascii="Times New Roman" w:hAnsi="Times New Roman" w:cs="Times New Roman"/>
                  <w:b w:val="0"/>
                  <w:i w:val="0"/>
                  <w:color w:val="auto"/>
                  <w:sz w:val="20"/>
                  <w:szCs w:val="20"/>
                  <w:bdr w:val="single" w:color="FFFFFF" w:sz="6" w:space="0"/>
                </w:rPr>
                <m:t xml:space="preserve"> mAh </m:t>
              </m:r>
              <m:sSup>
                <m:sSupPr>
                  <m:ctrlPr>
                    <w:rPr>
                      <w:rStyle w:val="60"/>
                      <w:rFonts w:ascii="Cambria Math" w:hAnsi="Cambria Math" w:cs="Times New Roman"/>
                      <w:i/>
                      <w:color w:val="auto"/>
                      <w:sz w:val="20"/>
                      <w:szCs w:val="20"/>
                      <w:bdr w:val="single" w:color="FFFFFF" w:sz="6" w:space="0"/>
                    </w:rPr>
                  </m:ctrlPr>
                </m:sSupPr>
                <m:e>
                  <m:r>
                    <m:rPr>
                      <m:nor/>
                      <m:sty m:val="p"/>
                    </m:rPr>
                    <w:rPr>
                      <w:rStyle w:val="60"/>
                      <w:rFonts w:ascii="Times New Roman" w:hAnsi="Times New Roman" w:cs="Times New Roman"/>
                      <w:b w:val="0"/>
                      <w:i w:val="0"/>
                      <w:color w:val="auto"/>
                      <w:sz w:val="20"/>
                      <w:szCs w:val="20"/>
                      <w:bdr w:val="single" w:color="FFFFFF" w:sz="6" w:space="0"/>
                    </w:rPr>
                    <m:t>g</m:t>
                  </m:r>
                  <m:ctrlPr>
                    <w:rPr>
                      <w:rStyle w:val="60"/>
                      <w:rFonts w:ascii="Cambria Math" w:hAnsi="Cambria Math" w:cs="Times New Roman"/>
                      <w:color w:val="auto"/>
                      <w:sz w:val="20"/>
                      <w:szCs w:val="20"/>
                      <w:bdr w:val="single" w:color="FFFFFF" w:sz="6" w:space="0"/>
                    </w:rPr>
                  </m:ctrlPr>
                </m:e>
                <m:sup>
                  <m:r>
                    <m:rPr/>
                    <w:rPr>
                      <w:rStyle w:val="60"/>
                      <w:rFonts w:ascii="Cambria Math" w:hAnsi="Cambria Math" w:cs="Times New Roman"/>
                      <w:color w:val="auto"/>
                      <w:sz w:val="20"/>
                      <w:szCs w:val="20"/>
                      <w:bdr w:val="single" w:color="FFFFFF" w:sz="6" w:space="0"/>
                    </w:rPr>
                    <m:t>−1</m:t>
                  </m:r>
                  <m:ctrlPr>
                    <w:rPr>
                      <w:rStyle w:val="60"/>
                      <w:rFonts w:ascii="Cambria Math" w:hAnsi="Cambria Math" w:cs="Times New Roman"/>
                      <w:i/>
                      <w:color w:val="auto"/>
                      <w:sz w:val="20"/>
                      <w:szCs w:val="20"/>
                      <w:bdr w:val="single" w:color="FFFFFF" w:sz="6" w:space="0"/>
                    </w:rPr>
                  </m:ctrlPr>
                </m:sup>
              </m:sSup>
              <m:ctrlPr>
                <w:rPr>
                  <w:rStyle w:val="60"/>
                  <w:rFonts w:ascii="Cambria Math" w:hAnsi="Cambria Math" w:cs="Times New Roman"/>
                  <w:i/>
                  <w:color w:val="auto"/>
                  <w:sz w:val="20"/>
                  <w:szCs w:val="20"/>
                  <w:bdr w:val="single" w:color="FFFFFF" w:sz="6" w:space="0"/>
                </w:rPr>
              </m:ctrlPr>
            </m:num>
            <m:den>
              <m:r>
                <m:rPr/>
                <w:rPr>
                  <w:rStyle w:val="60"/>
                  <w:rFonts w:ascii="Cambria Math" w:hAnsi="Cambria Math" w:cs="Times New Roman"/>
                  <w:color w:val="auto"/>
                  <w:sz w:val="20"/>
                  <w:szCs w:val="20"/>
                  <w:bdr w:val="single" w:color="FFFFFF" w:sz="6" w:space="0"/>
                </w:rPr>
                <m:t>1+0.305</m:t>
              </m:r>
              <m:ctrlPr>
                <w:rPr>
                  <w:rStyle w:val="60"/>
                  <w:rFonts w:ascii="Cambria Math" w:hAnsi="Cambria Math" w:cs="Times New Roman"/>
                  <w:i/>
                  <w:color w:val="auto"/>
                  <w:sz w:val="20"/>
                  <w:szCs w:val="20"/>
                  <w:bdr w:val="single" w:color="FFFFFF" w:sz="6" w:space="0"/>
                </w:rPr>
              </m:ctrlPr>
            </m:den>
          </m:f>
          <m:r>
            <m:rPr>
              <m:sty m:val="p"/>
            </m:rPr>
            <w:rPr>
              <w:rStyle w:val="60"/>
              <w:rFonts w:ascii="Cambria Math" w:hAnsi="Cambria Math" w:cs="Times New Roman"/>
              <w:color w:val="auto"/>
              <w:sz w:val="20"/>
              <w:szCs w:val="20"/>
              <w:bdr w:val="single" w:color="FFFFFF" w:sz="6" w:space="0"/>
            </w:rPr>
            <m:t>≈</m:t>
          </m:r>
          <m:r>
            <m:rPr/>
            <w:rPr>
              <w:rStyle w:val="60"/>
              <w:rFonts w:ascii="Cambria Math" w:hAnsi="Cambria Math" w:cs="Times New Roman"/>
              <w:color w:val="auto"/>
              <w:sz w:val="20"/>
              <w:szCs w:val="20"/>
              <w:bdr w:val="single" w:color="FFFFFF" w:sz="6" w:space="0"/>
            </w:rPr>
            <m:t>96.2</m:t>
          </m:r>
          <m:r>
            <m:rPr>
              <m:nor/>
              <m:sty m:val="p"/>
            </m:rPr>
            <w:rPr>
              <w:rStyle w:val="60"/>
              <w:rFonts w:ascii="Times New Roman" w:hAnsi="Times New Roman" w:cs="Times New Roman"/>
              <w:b w:val="0"/>
              <w:i w:val="0"/>
              <w:color w:val="auto"/>
              <w:sz w:val="20"/>
              <w:szCs w:val="20"/>
              <w:bdr w:val="single" w:color="FFFFFF" w:sz="6" w:space="0"/>
            </w:rPr>
            <m:t xml:space="preserve"> mAh </m:t>
          </m:r>
          <m:sSup>
            <m:sSupPr>
              <m:ctrlPr>
                <w:rPr>
                  <w:rStyle w:val="60"/>
                  <w:rFonts w:ascii="Cambria Math" w:hAnsi="Cambria Math" w:cs="Times New Roman"/>
                  <w:i/>
                  <w:color w:val="auto"/>
                  <w:sz w:val="20"/>
                  <w:szCs w:val="20"/>
                  <w:bdr w:val="single" w:color="FFFFFF" w:sz="6" w:space="0"/>
                </w:rPr>
              </m:ctrlPr>
            </m:sSupPr>
            <m:e>
              <m:r>
                <m:rPr>
                  <m:nor/>
                  <m:sty m:val="p"/>
                </m:rPr>
                <w:rPr>
                  <w:rStyle w:val="60"/>
                  <w:rFonts w:ascii="Times New Roman" w:hAnsi="Times New Roman" w:cs="Times New Roman"/>
                  <w:b w:val="0"/>
                  <w:i w:val="0"/>
                  <w:color w:val="auto"/>
                  <w:sz w:val="20"/>
                  <w:szCs w:val="20"/>
                  <w:bdr w:val="single" w:color="FFFFFF" w:sz="6" w:space="0"/>
                </w:rPr>
                <m:t>g</m:t>
              </m:r>
              <m:ctrlPr>
                <w:rPr>
                  <w:rStyle w:val="60"/>
                  <w:rFonts w:ascii="Cambria Math" w:hAnsi="Cambria Math" w:cs="Times New Roman"/>
                  <w:color w:val="auto"/>
                  <w:sz w:val="20"/>
                  <w:szCs w:val="20"/>
                  <w:bdr w:val="single" w:color="FFFFFF" w:sz="6" w:space="0"/>
                </w:rPr>
              </m:ctrlPr>
            </m:e>
            <m:sup>
              <m:r>
                <m:rPr/>
                <w:rPr>
                  <w:rStyle w:val="60"/>
                  <w:rFonts w:ascii="Cambria Math" w:hAnsi="Cambria Math" w:cs="Times New Roman"/>
                  <w:color w:val="auto"/>
                  <w:sz w:val="20"/>
                  <w:szCs w:val="20"/>
                  <w:bdr w:val="single" w:color="FFFFFF" w:sz="6" w:space="0"/>
                </w:rPr>
                <m:t>−1</m:t>
              </m:r>
              <m:ctrlPr>
                <w:rPr>
                  <w:rStyle w:val="60"/>
                  <w:rFonts w:ascii="Cambria Math" w:hAnsi="Cambria Math" w:cs="Times New Roman"/>
                  <w:i/>
                  <w:color w:val="auto"/>
                  <w:sz w:val="20"/>
                  <w:szCs w:val="20"/>
                  <w:bdr w:val="single" w:color="FFFFFF" w:sz="6" w:space="0"/>
                </w:rPr>
              </m:ctrlPr>
            </m:sup>
          </m:sSup>
        </m:oMath>
      </m:oMathPara>
    </w:p>
    <w:p w14:paraId="29FD1308">
      <w:pPr>
        <w:pStyle w:val="58"/>
        <w:shd w:val="clear" w:color="auto" w:fill="FFFFFF"/>
        <w:spacing w:after="270" w:afterAutospacing="0" w:line="288" w:lineRule="auto"/>
        <w:jc w:val="both"/>
        <w:rPr>
          <w:rFonts w:ascii="Times New Roman" w:hAnsi="Times New Roman" w:cs="Times New Roman"/>
          <w:color w:val="auto"/>
          <w:sz w:val="21"/>
          <w:szCs w:val="21"/>
        </w:rPr>
      </w:pPr>
      <w:r>
        <w:rPr>
          <w:rStyle w:val="59"/>
          <w:rFonts w:ascii="Times New Roman" w:hAnsi="Times New Roman" w:cs="Times New Roman"/>
          <w:color w:val="auto"/>
          <w:sz w:val="21"/>
          <w:szCs w:val="21"/>
        </w:rPr>
        <w:t>The specific energy density (E</w:t>
      </w:r>
      <w:r>
        <w:rPr>
          <w:rStyle w:val="59"/>
          <w:rFonts w:ascii="Times New Roman" w:hAnsi="Times New Roman" w:cs="Times New Roman"/>
          <w:i/>
          <w:iCs/>
          <w:color w:val="auto"/>
          <w:sz w:val="21"/>
          <w:szCs w:val="21"/>
          <w:vertAlign w:val="subscript"/>
        </w:rPr>
        <w:t>active</w:t>
      </w:r>
      <w:r>
        <w:rPr>
          <w:rStyle w:val="59"/>
          <w:rFonts w:ascii="Times New Roman" w:hAnsi="Times New Roman" w:cs="Times New Roman"/>
          <w:color w:val="auto"/>
          <w:sz w:val="21"/>
          <w:szCs w:val="21"/>
        </w:rPr>
        <w:t>), based on the total mass of active materials, was subsequently calculated by multiplying the full-cell specific capacity and its average operating voltage:</w:t>
      </w:r>
    </w:p>
    <w:p w14:paraId="6CCFD9E5">
      <w:pPr>
        <w:pStyle w:val="58"/>
        <w:shd w:val="clear" w:color="auto" w:fill="FFFFFF"/>
        <w:spacing w:after="270" w:afterAutospacing="0" w:line="288" w:lineRule="auto"/>
        <w:jc w:val="both"/>
        <w:rPr>
          <w:rFonts w:ascii="Times New Roman" w:hAnsi="Times New Roman" w:cs="Times New Roman"/>
          <w:color w:val="auto"/>
          <w:sz w:val="21"/>
          <w:szCs w:val="21"/>
        </w:rPr>
      </w:pPr>
      <m:oMathPara>
        <m:oMath>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E</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active</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Q</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cell</m:t>
              </m:r>
              <m:ctrlPr>
                <w:rPr>
                  <w:rStyle w:val="60"/>
                  <w:rFonts w:ascii="Cambria Math" w:hAnsi="Cambria Math" w:cs="Times New Roman"/>
                  <w:i/>
                  <w:color w:val="auto"/>
                  <w:sz w:val="20"/>
                  <w:szCs w:val="20"/>
                  <w:bdr w:val="single" w:color="FFFFFF" w:sz="6" w:space="0"/>
                </w:rPr>
              </m:ctrlPr>
            </m:sub>
          </m:sSub>
          <m:r>
            <m:rPr>
              <m:sty m:val="p"/>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V</m:t>
              </m:r>
              <m:ctrlPr>
                <w:rPr>
                  <w:rStyle w:val="60"/>
                  <w:rFonts w:ascii="Cambria Math" w:hAnsi="Cambria Math" w:cs="Times New Roman"/>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cell</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=96.2</m:t>
          </m:r>
          <m:r>
            <m:rPr>
              <m:nor/>
              <m:sty m:val="p"/>
            </m:rPr>
            <w:rPr>
              <w:rStyle w:val="60"/>
              <w:rFonts w:ascii="Times New Roman" w:hAnsi="Times New Roman" w:cs="Times New Roman"/>
              <w:b w:val="0"/>
              <w:i w:val="0"/>
              <w:color w:val="auto"/>
              <w:sz w:val="20"/>
              <w:szCs w:val="20"/>
              <w:bdr w:val="single" w:color="FFFFFF" w:sz="6" w:space="0"/>
            </w:rPr>
            <m:t xml:space="preserve"> mAh </m:t>
          </m:r>
          <m:sSup>
            <m:sSupPr>
              <m:ctrlPr>
                <w:rPr>
                  <w:rStyle w:val="60"/>
                  <w:rFonts w:ascii="Cambria Math" w:hAnsi="Cambria Math" w:cs="Times New Roman"/>
                  <w:i/>
                  <w:color w:val="auto"/>
                  <w:sz w:val="20"/>
                  <w:szCs w:val="20"/>
                  <w:bdr w:val="single" w:color="FFFFFF" w:sz="6" w:space="0"/>
                </w:rPr>
              </m:ctrlPr>
            </m:sSupPr>
            <m:e>
              <m:r>
                <m:rPr>
                  <m:nor/>
                  <m:sty m:val="p"/>
                </m:rPr>
                <w:rPr>
                  <w:rStyle w:val="60"/>
                  <w:rFonts w:ascii="Times New Roman" w:hAnsi="Times New Roman" w:cs="Times New Roman"/>
                  <w:b w:val="0"/>
                  <w:i w:val="0"/>
                  <w:color w:val="auto"/>
                  <w:sz w:val="20"/>
                  <w:szCs w:val="20"/>
                  <w:bdr w:val="single" w:color="FFFFFF" w:sz="6" w:space="0"/>
                </w:rPr>
                <m:t>g</m:t>
              </m:r>
              <m:ctrlPr>
                <w:rPr>
                  <w:rStyle w:val="60"/>
                  <w:rFonts w:ascii="Cambria Math" w:hAnsi="Cambria Math" w:cs="Times New Roman"/>
                  <w:color w:val="auto"/>
                  <w:sz w:val="20"/>
                  <w:szCs w:val="20"/>
                  <w:bdr w:val="single" w:color="FFFFFF" w:sz="6" w:space="0"/>
                </w:rPr>
              </m:ctrlPr>
            </m:e>
            <m:sup>
              <m:r>
                <m:rPr/>
                <w:rPr>
                  <w:rStyle w:val="60"/>
                  <w:rFonts w:ascii="Cambria Math" w:hAnsi="Cambria Math" w:cs="Times New Roman"/>
                  <w:color w:val="auto"/>
                  <w:sz w:val="20"/>
                  <w:szCs w:val="20"/>
                  <w:bdr w:val="single" w:color="FFFFFF" w:sz="6" w:space="0"/>
                </w:rPr>
                <m:t>−1</m:t>
              </m:r>
              <m:ctrlPr>
                <w:rPr>
                  <w:rStyle w:val="60"/>
                  <w:rFonts w:ascii="Cambria Math" w:hAnsi="Cambria Math" w:cs="Times New Roman"/>
                  <w:i/>
                  <w:color w:val="auto"/>
                  <w:sz w:val="20"/>
                  <w:szCs w:val="20"/>
                  <w:bdr w:val="single" w:color="FFFFFF" w:sz="6" w:space="0"/>
                </w:rPr>
              </m:ctrlPr>
            </m:sup>
          </m:sSup>
          <m:r>
            <m:rPr>
              <m:sty m:val="p"/>
            </m:rPr>
            <w:rPr>
              <w:rStyle w:val="60"/>
              <w:rFonts w:ascii="Cambria Math" w:hAnsi="Cambria Math" w:cs="Times New Roman"/>
              <w:color w:val="auto"/>
              <w:sz w:val="20"/>
              <w:szCs w:val="20"/>
              <w:bdr w:val="single" w:color="FFFFFF" w:sz="6" w:space="0"/>
            </w:rPr>
            <m:t>×</m:t>
          </m:r>
          <m:r>
            <m:rPr/>
            <w:rPr>
              <w:rStyle w:val="60"/>
              <w:rFonts w:ascii="Cambria Math" w:hAnsi="Cambria Math" w:cs="Times New Roman"/>
              <w:color w:val="auto"/>
              <w:sz w:val="20"/>
              <w:szCs w:val="20"/>
              <w:bdr w:val="single" w:color="FFFFFF" w:sz="6" w:space="0"/>
            </w:rPr>
            <m:t>2.2</m:t>
          </m:r>
          <m:r>
            <m:rPr>
              <m:nor/>
              <m:sty m:val="p"/>
            </m:rPr>
            <w:rPr>
              <w:rStyle w:val="60"/>
              <w:rFonts w:ascii="Times New Roman" w:hAnsi="Times New Roman" w:cs="Times New Roman"/>
              <w:b w:val="0"/>
              <w:i w:val="0"/>
              <w:color w:val="auto"/>
              <w:sz w:val="20"/>
              <w:szCs w:val="20"/>
              <w:bdr w:val="single" w:color="FFFFFF" w:sz="6" w:space="0"/>
            </w:rPr>
            <m:t xml:space="preserve"> V</m:t>
          </m:r>
          <m:r>
            <m:rPr>
              <m:sty m:val="p"/>
            </m:rPr>
            <w:rPr>
              <w:rStyle w:val="60"/>
              <w:rFonts w:ascii="Cambria Math" w:hAnsi="Cambria Math" w:cs="Times New Roman"/>
              <w:color w:val="auto"/>
              <w:sz w:val="20"/>
              <w:szCs w:val="20"/>
              <w:bdr w:val="single" w:color="FFFFFF" w:sz="6" w:space="0"/>
            </w:rPr>
            <m:t>≈</m:t>
          </m:r>
          <m:r>
            <m:rPr/>
            <w:rPr>
              <w:rStyle w:val="60"/>
              <w:rFonts w:ascii="Cambria Math" w:hAnsi="Cambria Math" w:cs="Times New Roman"/>
              <w:color w:val="auto"/>
              <w:sz w:val="20"/>
              <w:szCs w:val="20"/>
              <w:bdr w:val="single" w:color="FFFFFF" w:sz="6" w:space="0"/>
            </w:rPr>
            <m:t>212</m:t>
          </m:r>
          <m:r>
            <m:rPr>
              <m:nor/>
              <m:sty m:val="p"/>
            </m:rPr>
            <w:rPr>
              <w:rStyle w:val="60"/>
              <w:rFonts w:ascii="Times New Roman" w:hAnsi="Times New Roman" w:cs="Times New Roman"/>
              <w:b w:val="0"/>
              <w:i w:val="0"/>
              <w:color w:val="auto"/>
              <w:sz w:val="20"/>
              <w:szCs w:val="20"/>
              <w:bdr w:val="single" w:color="FFFFFF" w:sz="6" w:space="0"/>
            </w:rPr>
            <m:t xml:space="preserve"> Wh </m:t>
          </m:r>
          <m:sSup>
            <m:sSupPr>
              <m:ctrlPr>
                <w:rPr>
                  <w:rStyle w:val="60"/>
                  <w:rFonts w:ascii="Cambria Math" w:hAnsi="Cambria Math" w:cs="Times New Roman"/>
                  <w:i/>
                  <w:color w:val="auto"/>
                  <w:sz w:val="20"/>
                  <w:szCs w:val="20"/>
                  <w:bdr w:val="single" w:color="FFFFFF" w:sz="6" w:space="0"/>
                </w:rPr>
              </m:ctrlPr>
            </m:sSupPr>
            <m:e>
              <m:r>
                <m:rPr>
                  <m:nor/>
                  <m:sty m:val="p"/>
                </m:rPr>
                <w:rPr>
                  <w:rStyle w:val="60"/>
                  <w:rFonts w:ascii="Times New Roman" w:hAnsi="Times New Roman" w:cs="Times New Roman"/>
                  <w:b w:val="0"/>
                  <w:i w:val="0"/>
                  <w:color w:val="auto"/>
                  <w:sz w:val="20"/>
                  <w:szCs w:val="20"/>
                  <w:bdr w:val="single" w:color="FFFFFF" w:sz="6" w:space="0"/>
                </w:rPr>
                <m:t>kg</m:t>
              </m:r>
              <m:ctrlPr>
                <w:rPr>
                  <w:rStyle w:val="60"/>
                  <w:rFonts w:ascii="Cambria Math" w:hAnsi="Cambria Math" w:cs="Times New Roman"/>
                  <w:color w:val="auto"/>
                  <w:sz w:val="20"/>
                  <w:szCs w:val="20"/>
                  <w:bdr w:val="single" w:color="FFFFFF" w:sz="6" w:space="0"/>
                </w:rPr>
              </m:ctrlPr>
            </m:e>
            <m:sup>
              <m:r>
                <m:rPr/>
                <w:rPr>
                  <w:rStyle w:val="60"/>
                  <w:rFonts w:ascii="Cambria Math" w:hAnsi="Cambria Math" w:cs="Times New Roman"/>
                  <w:color w:val="auto"/>
                  <w:sz w:val="20"/>
                  <w:szCs w:val="20"/>
                  <w:bdr w:val="single" w:color="FFFFFF" w:sz="6" w:space="0"/>
                </w:rPr>
                <m:t>−1</m:t>
              </m:r>
              <m:ctrlPr>
                <w:rPr>
                  <w:rStyle w:val="60"/>
                  <w:rFonts w:ascii="Cambria Math" w:hAnsi="Cambria Math" w:cs="Times New Roman"/>
                  <w:i/>
                  <w:color w:val="auto"/>
                  <w:sz w:val="20"/>
                  <w:szCs w:val="20"/>
                  <w:bdr w:val="single" w:color="FFFFFF" w:sz="6" w:space="0"/>
                </w:rPr>
              </m:ctrlPr>
            </m:sup>
          </m:sSup>
        </m:oMath>
      </m:oMathPara>
    </w:p>
    <w:p w14:paraId="7CE704AC">
      <w:pPr>
        <w:pStyle w:val="58"/>
        <w:shd w:val="clear" w:color="auto" w:fill="FFFFFF"/>
        <w:spacing w:after="270" w:afterAutospacing="0" w:line="288" w:lineRule="auto"/>
        <w:jc w:val="both"/>
        <w:rPr>
          <w:rFonts w:ascii="Times New Roman" w:hAnsi="Times New Roman" w:cs="Times New Roman"/>
          <w:color w:val="auto"/>
          <w:sz w:val="21"/>
          <w:szCs w:val="21"/>
        </w:rPr>
      </w:pPr>
      <w:r>
        <w:rPr>
          <w:rStyle w:val="59"/>
          <w:rFonts w:ascii="Times New Roman" w:hAnsi="Times New Roman" w:cs="Times New Roman"/>
          <w:color w:val="auto"/>
          <w:sz w:val="21"/>
          <w:szCs w:val="21"/>
        </w:rPr>
        <w:t>Finally, the specific power density (P</w:t>
      </w:r>
      <w:r>
        <w:rPr>
          <w:rStyle w:val="59"/>
          <w:rFonts w:ascii="Times New Roman" w:hAnsi="Times New Roman" w:cs="Times New Roman"/>
          <w:i/>
          <w:iCs/>
          <w:color w:val="auto"/>
          <w:sz w:val="21"/>
          <w:szCs w:val="21"/>
          <w:vertAlign w:val="subscript"/>
        </w:rPr>
        <w:t>active</w:t>
      </w:r>
      <w:r>
        <w:rPr>
          <w:rStyle w:val="59"/>
          <w:rFonts w:ascii="Times New Roman" w:hAnsi="Times New Roman" w:cs="Times New Roman"/>
          <w:color w:val="auto"/>
          <w:sz w:val="21"/>
          <w:szCs w:val="21"/>
        </w:rPr>
        <w:t>) at a given specific current (i</w:t>
      </w:r>
      <w:r>
        <w:rPr>
          <w:rStyle w:val="59"/>
          <w:rFonts w:ascii="Times New Roman" w:hAnsi="Times New Roman" w:cs="Times New Roman"/>
          <w:i/>
          <w:iCs/>
          <w:color w:val="auto"/>
          <w:sz w:val="21"/>
          <w:szCs w:val="21"/>
          <w:vertAlign w:val="subscript"/>
        </w:rPr>
        <w:t>c</w:t>
      </w:r>
      <w:r>
        <w:rPr>
          <w:rStyle w:val="59"/>
          <w:rFonts w:ascii="Times New Roman" w:hAnsi="Times New Roman" w:cs="Times New Roman"/>
          <w:color w:val="auto"/>
          <w:sz w:val="21"/>
          <w:szCs w:val="21"/>
        </w:rPr>
        <w:t>, current per gram of cathode active material) was calculated using the following equation. The specific power values for the Ragone plot were determined using the various current densities from the rate performance test.</w:t>
      </w:r>
    </w:p>
    <w:p w14:paraId="45AB3CA3">
      <w:pPr>
        <w:pStyle w:val="58"/>
        <w:shd w:val="clear" w:color="auto" w:fill="FFFFFF"/>
        <w:spacing w:after="270" w:afterAutospacing="0" w:line="288" w:lineRule="auto"/>
        <w:jc w:val="both"/>
        <w:rPr>
          <w:rFonts w:ascii="Times New Roman" w:hAnsi="Times New Roman" w:cs="Times New Roman"/>
          <w:color w:val="auto"/>
          <w:sz w:val="21"/>
          <w:szCs w:val="21"/>
        </w:rPr>
      </w:pPr>
      <m:oMathPara>
        <m:oMath>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P</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active</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V</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cell</m:t>
              </m:r>
              <m:ctrlPr>
                <w:rPr>
                  <w:rStyle w:val="60"/>
                  <w:rFonts w:ascii="Cambria Math" w:hAnsi="Cambria Math" w:cs="Times New Roman"/>
                  <w:i/>
                  <w:color w:val="auto"/>
                  <w:sz w:val="20"/>
                  <w:szCs w:val="20"/>
                  <w:bdr w:val="single" w:color="FFFFFF" w:sz="6" w:space="0"/>
                </w:rPr>
              </m:ctrlPr>
            </m:sub>
          </m:sSub>
          <m:r>
            <m:rPr>
              <m:sty m:val="p"/>
            </m:rPr>
            <w:rPr>
              <w:rStyle w:val="60"/>
              <w:rFonts w:ascii="Cambria Math" w:hAnsi="Cambria Math" w:cs="Times New Roman"/>
              <w:color w:val="auto"/>
              <w:sz w:val="20"/>
              <w:szCs w:val="20"/>
              <w:bdr w:val="single" w:color="FFFFFF" w:sz="6" w:space="0"/>
            </w:rPr>
            <m:t>×</m:t>
          </m:r>
          <m:f>
            <m:fPr>
              <m:ctrlPr>
                <w:rPr>
                  <w:rStyle w:val="60"/>
                  <w:rFonts w:ascii="Cambria Math" w:hAnsi="Cambria Math" w:cs="Times New Roman"/>
                  <w:color w:val="auto"/>
                  <w:sz w:val="20"/>
                  <w:szCs w:val="20"/>
                  <w:bdr w:val="single" w:color="FFFFFF" w:sz="6" w:space="0"/>
                </w:rPr>
              </m:ctrlPr>
            </m:fPr>
            <m:num>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i</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r>
                <m:rPr>
                  <m:sty m:val="p"/>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num>
            <m:den>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r>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den>
          </m:f>
          <m:r>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V</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cell</m:t>
              </m:r>
              <m:ctrlPr>
                <w:rPr>
                  <w:rStyle w:val="60"/>
                  <w:rFonts w:ascii="Cambria Math" w:hAnsi="Cambria Math" w:cs="Times New Roman"/>
                  <w:i/>
                  <w:color w:val="auto"/>
                  <w:sz w:val="20"/>
                  <w:szCs w:val="20"/>
                  <w:bdr w:val="single" w:color="FFFFFF" w:sz="6" w:space="0"/>
                </w:rPr>
              </m:ctrlPr>
            </m:sub>
          </m:sSub>
          <m:r>
            <m:rPr>
              <m:sty m:val="p"/>
            </m:rPr>
            <w:rPr>
              <w:rStyle w:val="60"/>
              <w:rFonts w:ascii="Cambria Math" w:hAnsi="Cambria Math" w:cs="Times New Roman"/>
              <w:color w:val="auto"/>
              <w:sz w:val="20"/>
              <w:szCs w:val="20"/>
              <w:bdr w:val="single" w:color="FFFFFF" w:sz="6" w:space="0"/>
            </w:rPr>
            <m:t>×</m:t>
          </m:r>
          <m:f>
            <m:fPr>
              <m:ctrlPr>
                <w:rPr>
                  <w:rStyle w:val="60"/>
                  <w:rFonts w:ascii="Cambria Math" w:hAnsi="Cambria Math" w:cs="Times New Roman"/>
                  <w:color w:val="auto"/>
                  <w:sz w:val="20"/>
                  <w:szCs w:val="20"/>
                  <w:bdr w:val="single" w:color="FFFFFF" w:sz="6" w:space="0"/>
                </w:rPr>
              </m:ctrlPr>
            </m:fPr>
            <m:num>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i</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num>
            <m:den>
              <m:r>
                <m:rPr/>
                <w:rPr>
                  <w:rStyle w:val="60"/>
                  <w:rFonts w:ascii="Cambria Math" w:hAnsi="Cambria Math" w:cs="Times New Roman"/>
                  <w:color w:val="auto"/>
                  <w:sz w:val="20"/>
                  <w:szCs w:val="20"/>
                  <w:bdr w:val="single" w:color="FFFFFF" w:sz="6" w:space="0"/>
                </w:rPr>
                <m:t>1+</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a</m:t>
                  </m:r>
                  <m:ctrlPr>
                    <w:rPr>
                      <w:rStyle w:val="60"/>
                      <w:rFonts w:ascii="Cambria Math" w:hAnsi="Cambria Math" w:cs="Times New Roman"/>
                      <w:i/>
                      <w:color w:val="auto"/>
                      <w:sz w:val="20"/>
                      <w:szCs w:val="20"/>
                      <w:bdr w:val="single" w:color="FFFFFF" w:sz="6" w:space="0"/>
                    </w:rPr>
                  </m:ctrlPr>
                </m:sub>
              </m:sSub>
              <m:r>
                <m:rPr>
                  <m:lit/>
                </m:rPr>
                <w:rPr>
                  <w:rStyle w:val="60"/>
                  <w:rFonts w:ascii="Cambria Math" w:hAnsi="Cambria Math" w:cs="Times New Roman"/>
                  <w:color w:val="auto"/>
                  <w:sz w:val="20"/>
                  <w:szCs w:val="20"/>
                  <w:bdr w:val="single" w:color="FFFFFF" w:sz="6" w:space="0"/>
                </w:rPr>
                <m:t>/</m:t>
              </m:r>
              <m:sSub>
                <m:sSubPr>
                  <m:ctrlPr>
                    <w:rPr>
                      <w:rStyle w:val="60"/>
                      <w:rFonts w:ascii="Cambria Math" w:hAnsi="Cambria Math" w:cs="Times New Roman"/>
                      <w:i/>
                      <w:color w:val="auto"/>
                      <w:sz w:val="20"/>
                      <w:szCs w:val="20"/>
                      <w:bdr w:val="single" w:color="FFFFFF" w:sz="6" w:space="0"/>
                    </w:rPr>
                  </m:ctrlPr>
                </m:sSubPr>
                <m:e>
                  <m:r>
                    <m:rPr/>
                    <w:rPr>
                      <w:rStyle w:val="60"/>
                      <w:rFonts w:ascii="Cambria Math" w:hAnsi="Cambria Math" w:cs="Times New Roman"/>
                      <w:color w:val="auto"/>
                      <w:sz w:val="20"/>
                      <w:szCs w:val="20"/>
                      <w:bdr w:val="single" w:color="FFFFFF" w:sz="6" w:space="0"/>
                    </w:rPr>
                    <m:t>m</m:t>
                  </m:r>
                  <m:ctrlPr>
                    <w:rPr>
                      <w:rStyle w:val="60"/>
                      <w:rFonts w:ascii="Cambria Math" w:hAnsi="Cambria Math" w:cs="Times New Roman"/>
                      <w:i/>
                      <w:color w:val="auto"/>
                      <w:sz w:val="20"/>
                      <w:szCs w:val="20"/>
                      <w:bdr w:val="single" w:color="FFFFFF" w:sz="6" w:space="0"/>
                    </w:rPr>
                  </m:ctrlPr>
                </m:e>
                <m:sub>
                  <m:r>
                    <m:rPr/>
                    <w:rPr>
                      <w:rStyle w:val="60"/>
                      <w:rFonts w:ascii="Cambria Math" w:hAnsi="Cambria Math" w:cs="Times New Roman"/>
                      <w:color w:val="auto"/>
                      <w:sz w:val="20"/>
                      <w:szCs w:val="20"/>
                      <w:bdr w:val="single" w:color="FFFFFF" w:sz="6" w:space="0"/>
                    </w:rPr>
                    <m:t>c</m:t>
                  </m:r>
                  <m:ctrlPr>
                    <w:rPr>
                      <w:rStyle w:val="60"/>
                      <w:rFonts w:ascii="Cambria Math" w:hAnsi="Cambria Math" w:cs="Times New Roman"/>
                      <w:i/>
                      <w:color w:val="auto"/>
                      <w:sz w:val="20"/>
                      <w:szCs w:val="20"/>
                      <w:bdr w:val="single" w:color="FFFFFF" w:sz="6" w:space="0"/>
                    </w:rPr>
                  </m:ctrlPr>
                </m:sub>
              </m:sSub>
              <m:ctrlPr>
                <w:rPr>
                  <w:rStyle w:val="60"/>
                  <w:rFonts w:ascii="Cambria Math" w:hAnsi="Cambria Math" w:cs="Times New Roman"/>
                  <w:i/>
                  <w:color w:val="auto"/>
                  <w:sz w:val="20"/>
                  <w:szCs w:val="20"/>
                  <w:bdr w:val="single" w:color="FFFFFF" w:sz="6" w:space="0"/>
                </w:rPr>
              </m:ctrlPr>
            </m:den>
          </m:f>
        </m:oMath>
      </m:oMathPara>
    </w:p>
    <w:p w14:paraId="44495F7C">
      <w:pPr>
        <w:rPr>
          <w:color w:val="auto"/>
          <w:sz w:val="20"/>
          <w:szCs w:val="20"/>
          <w:lang w:val="en-US"/>
        </w:rPr>
      </w:pPr>
    </w:p>
    <w:p w14:paraId="4DE0F94E">
      <w:pPr>
        <w:keepNext/>
        <w:jc w:val="center"/>
        <w:rPr>
          <w:color w:val="auto"/>
          <w:sz w:val="20"/>
          <w:szCs w:val="20"/>
        </w:rPr>
      </w:pPr>
      <w:r>
        <w:rPr>
          <w:color w:val="auto"/>
          <w:sz w:val="20"/>
          <w:szCs w:val="20"/>
        </w:rPr>
        <w:drawing>
          <wp:inline distT="0" distB="0" distL="0" distR="0">
            <wp:extent cx="5278755" cy="3820160"/>
            <wp:effectExtent l="0" t="0" r="0" b="8890"/>
            <wp:docPr id="41" name="图形 41"/>
            <wp:cNvGraphicFramePr/>
            <a:graphic xmlns:a="http://schemas.openxmlformats.org/drawingml/2006/main">
              <a:graphicData uri="http://schemas.openxmlformats.org/drawingml/2006/picture">
                <pic:pic xmlns:pic="http://schemas.openxmlformats.org/drawingml/2006/picture">
                  <pic:nvPicPr>
                    <pic:cNvPr id="41" name="图形 41"/>
                    <pic:cNvPicPr/>
                  </pic:nvPicPr>
                  <pic:blipFill>
                    <a:blip r:embed="rId6">
                      <a:extLst>
                        <a:ext uri="{96DAC541-7B7A-43D3-8B79-37D633B846F1}">
                          <asvg:svgBlip xmlns:asvg="http://schemas.microsoft.com/office/drawing/2016/SVG/main" r:embed="rId7"/>
                        </a:ext>
                      </a:extLst>
                    </a:blip>
                    <a:stretch>
                      <a:fillRect/>
                    </a:stretch>
                  </pic:blipFill>
                  <pic:spPr>
                    <a:xfrm>
                      <a:off x="0" y="0"/>
                      <a:ext cx="5274310" cy="3820795"/>
                    </a:xfrm>
                    <a:prstGeom prst="rect">
                      <a:avLst/>
                    </a:prstGeom>
                  </pic:spPr>
                </pic:pic>
              </a:graphicData>
            </a:graphic>
          </wp:inline>
        </w:drawing>
      </w:r>
    </w:p>
    <w:p w14:paraId="4AC8F655">
      <w:pPr>
        <w:pStyle w:val="2"/>
        <w:rPr>
          <w:color w:val="auto"/>
        </w:rPr>
      </w:pPr>
      <w:r>
        <w:rPr>
          <w:b/>
          <w:bCs w:val="0"/>
          <w:color w:val="auto"/>
        </w:rPr>
        <w:t>Figure S</w:t>
      </w:r>
      <w:r>
        <w:rPr>
          <w:b/>
          <w:bCs w:val="0"/>
          <w:color w:val="auto"/>
        </w:rPr>
        <w:fldChar w:fldCharType="begin"/>
      </w:r>
      <w:r>
        <w:rPr>
          <w:b/>
          <w:bCs w:val="0"/>
          <w:color w:val="auto"/>
        </w:rPr>
        <w:instrText xml:space="preserve"> SEQ Figure_S \* ARABIC </w:instrText>
      </w:r>
      <w:r>
        <w:rPr>
          <w:b/>
          <w:bCs w:val="0"/>
          <w:color w:val="auto"/>
        </w:rPr>
        <w:fldChar w:fldCharType="separate"/>
      </w:r>
      <w:r>
        <w:rPr>
          <w:b/>
          <w:bCs w:val="0"/>
          <w:color w:val="auto"/>
        </w:rPr>
        <w:t>1</w:t>
      </w:r>
      <w:r>
        <w:rPr>
          <w:b/>
          <w:bCs w:val="0"/>
          <w:color w:val="auto"/>
        </w:rPr>
        <w:fldChar w:fldCharType="end"/>
      </w:r>
      <w:r>
        <w:rPr>
          <w:b/>
          <w:bCs w:val="0"/>
          <w:color w:val="auto"/>
        </w:rPr>
        <w:t xml:space="preserve"> </w:t>
      </w:r>
      <w:r>
        <w:rPr>
          <w:color w:val="auto"/>
        </w:rPr>
        <w:t>Molecular chain structure characteristics of TM-BTA (TM=Ni,Co,Mn) and corresponding atomic Mayer bond order analysis.</w:t>
      </w:r>
    </w:p>
    <w:p w14:paraId="5E2462F2">
      <w:pPr>
        <w:rPr>
          <w:rFonts w:eastAsiaTheme="minorEastAsia"/>
          <w:color w:val="auto"/>
          <w:sz w:val="20"/>
          <w:szCs w:val="20"/>
          <w:lang w:val="en-US" w:eastAsia="zh-CN"/>
        </w:rPr>
      </w:pPr>
    </w:p>
    <w:p w14:paraId="1A9F0248">
      <w:pPr>
        <w:keepNext/>
        <w:jc w:val="center"/>
        <w:rPr>
          <w:color w:val="auto"/>
          <w:sz w:val="20"/>
          <w:szCs w:val="20"/>
        </w:rPr>
      </w:pPr>
      <w:r>
        <w:rPr>
          <w:color w:val="auto"/>
          <w:sz w:val="20"/>
          <w:szCs w:val="20"/>
        </w:rPr>
        <w:drawing>
          <wp:inline distT="0" distB="0" distL="0" distR="0">
            <wp:extent cx="3669030" cy="2788285"/>
            <wp:effectExtent l="0" t="0" r="0" b="0"/>
            <wp:docPr id="39" name="图形 39"/>
            <wp:cNvGraphicFramePr/>
            <a:graphic xmlns:a="http://schemas.openxmlformats.org/drawingml/2006/main">
              <a:graphicData uri="http://schemas.openxmlformats.org/drawingml/2006/picture">
                <pic:pic xmlns:pic="http://schemas.openxmlformats.org/drawingml/2006/picture">
                  <pic:nvPicPr>
                    <pic:cNvPr id="39" name="图形 39"/>
                    <pic:cNvPicPr/>
                  </pic:nvPicPr>
                  <pic:blipFill>
                    <a:blip r:embed="rId8">
                      <a:extLst>
                        <a:ext uri="{96DAC541-7B7A-43D3-8B79-37D633B846F1}">
                          <asvg:svgBlip xmlns:asvg="http://schemas.microsoft.com/office/drawing/2016/SVG/main" r:embed="rId9"/>
                        </a:ext>
                      </a:extLst>
                    </a:blip>
                    <a:stretch>
                      <a:fillRect/>
                    </a:stretch>
                  </pic:blipFill>
                  <pic:spPr>
                    <a:xfrm>
                      <a:off x="0" y="0"/>
                      <a:ext cx="3664585" cy="2792730"/>
                    </a:xfrm>
                    <a:prstGeom prst="rect">
                      <a:avLst/>
                    </a:prstGeom>
                  </pic:spPr>
                </pic:pic>
              </a:graphicData>
            </a:graphic>
          </wp:inline>
        </w:drawing>
      </w:r>
    </w:p>
    <w:p w14:paraId="6127511B">
      <w:pPr>
        <w:pStyle w:val="2"/>
        <w:rPr>
          <w:color w:val="auto"/>
        </w:rPr>
      </w:pPr>
      <w:r>
        <w:rPr>
          <w:b/>
          <w:bCs w:val="0"/>
          <w:color w:val="auto"/>
        </w:rPr>
        <w:t>Figure S</w:t>
      </w:r>
      <w:r>
        <w:rPr>
          <w:b/>
          <w:bCs w:val="0"/>
          <w:color w:val="auto"/>
        </w:rPr>
        <w:fldChar w:fldCharType="begin"/>
      </w:r>
      <w:r>
        <w:rPr>
          <w:b/>
          <w:bCs w:val="0"/>
          <w:color w:val="auto"/>
        </w:rPr>
        <w:instrText xml:space="preserve"> SEQ Figure_S \* ARABIC </w:instrText>
      </w:r>
      <w:r>
        <w:rPr>
          <w:b/>
          <w:bCs w:val="0"/>
          <w:color w:val="auto"/>
        </w:rPr>
        <w:fldChar w:fldCharType="separate"/>
      </w:r>
      <w:r>
        <w:rPr>
          <w:b/>
          <w:bCs w:val="0"/>
          <w:color w:val="auto"/>
        </w:rPr>
        <w:t>2</w:t>
      </w:r>
      <w:r>
        <w:rPr>
          <w:b/>
          <w:bCs w:val="0"/>
          <w:color w:val="auto"/>
        </w:rPr>
        <w:fldChar w:fldCharType="end"/>
      </w:r>
      <w:r>
        <w:rPr>
          <w:b/>
          <w:bCs w:val="0"/>
          <w:color w:val="auto"/>
        </w:rPr>
        <w:t xml:space="preserve"> </w:t>
      </w:r>
      <w:r>
        <w:rPr>
          <w:color w:val="auto"/>
        </w:rPr>
        <w:t>Analysis of PDOS for different d orbitals in Ni-BTA.</w:t>
      </w:r>
    </w:p>
    <w:p w14:paraId="3C5F678E">
      <w:pPr>
        <w:keepNext/>
        <w:jc w:val="center"/>
        <w:rPr>
          <w:color w:val="auto"/>
          <w:sz w:val="20"/>
          <w:szCs w:val="20"/>
        </w:rPr>
      </w:pPr>
      <w:r>
        <w:rPr>
          <w:color w:val="auto"/>
          <w:sz w:val="20"/>
          <w:szCs w:val="20"/>
        </w:rPr>
        <w:drawing>
          <wp:inline distT="0" distB="0" distL="0" distR="0">
            <wp:extent cx="3669030" cy="2788285"/>
            <wp:effectExtent l="0" t="0" r="0" b="0"/>
            <wp:docPr id="38" name="图形 38"/>
            <wp:cNvGraphicFramePr/>
            <a:graphic xmlns:a="http://schemas.openxmlformats.org/drawingml/2006/main">
              <a:graphicData uri="http://schemas.openxmlformats.org/drawingml/2006/picture">
                <pic:pic xmlns:pic="http://schemas.openxmlformats.org/drawingml/2006/picture">
                  <pic:nvPicPr>
                    <pic:cNvPr id="38" name="图形 38"/>
                    <pic:cNvPicPr/>
                  </pic:nvPicPr>
                  <pic:blipFill>
                    <a:blip r:embed="rId10">
                      <a:extLst>
                        <a:ext uri="{96DAC541-7B7A-43D3-8B79-37D633B846F1}">
                          <asvg:svgBlip xmlns:asvg="http://schemas.microsoft.com/office/drawing/2016/SVG/main" r:embed="rId11"/>
                        </a:ext>
                      </a:extLst>
                    </a:blip>
                    <a:stretch>
                      <a:fillRect/>
                    </a:stretch>
                  </pic:blipFill>
                  <pic:spPr>
                    <a:xfrm>
                      <a:off x="0" y="0"/>
                      <a:ext cx="3664585" cy="2792730"/>
                    </a:xfrm>
                    <a:prstGeom prst="rect">
                      <a:avLst/>
                    </a:prstGeom>
                  </pic:spPr>
                </pic:pic>
              </a:graphicData>
            </a:graphic>
          </wp:inline>
        </w:drawing>
      </w:r>
    </w:p>
    <w:p w14:paraId="331477E5">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w:t>
      </w:r>
      <w:r>
        <w:rPr>
          <w:b/>
          <w:color w:val="auto"/>
        </w:rPr>
        <w:fldChar w:fldCharType="end"/>
      </w:r>
      <w:r>
        <w:rPr>
          <w:color w:val="auto"/>
        </w:rPr>
        <w:t xml:space="preserve"> Analysis of PDOS for different d orbitals in Co-BTA.</w:t>
      </w:r>
    </w:p>
    <w:p w14:paraId="266B287A">
      <w:pPr>
        <w:rPr>
          <w:rFonts w:eastAsiaTheme="minorEastAsia"/>
          <w:color w:val="auto"/>
          <w:sz w:val="20"/>
          <w:szCs w:val="20"/>
          <w:lang w:val="en-US" w:eastAsia="zh-CN"/>
        </w:rPr>
      </w:pPr>
    </w:p>
    <w:p w14:paraId="2FD71E12">
      <w:pPr>
        <w:rPr>
          <w:rFonts w:eastAsiaTheme="minorEastAsia"/>
          <w:color w:val="auto"/>
          <w:sz w:val="20"/>
          <w:szCs w:val="20"/>
          <w:lang w:val="en-US" w:eastAsia="zh-CN"/>
        </w:rPr>
      </w:pPr>
    </w:p>
    <w:p w14:paraId="334866B5">
      <w:pPr>
        <w:keepNext/>
        <w:jc w:val="center"/>
        <w:rPr>
          <w:color w:val="auto"/>
          <w:sz w:val="20"/>
          <w:szCs w:val="20"/>
        </w:rPr>
      </w:pPr>
      <w:r>
        <w:rPr>
          <w:color w:val="auto"/>
          <w:sz w:val="20"/>
          <w:szCs w:val="20"/>
        </w:rPr>
        <w:drawing>
          <wp:inline distT="0" distB="0" distL="0" distR="0">
            <wp:extent cx="3669030" cy="2821940"/>
            <wp:effectExtent l="0" t="0" r="0" b="0"/>
            <wp:docPr id="37" name="图形 37"/>
            <wp:cNvGraphicFramePr/>
            <a:graphic xmlns:a="http://schemas.openxmlformats.org/drawingml/2006/main">
              <a:graphicData uri="http://schemas.openxmlformats.org/drawingml/2006/picture">
                <pic:pic xmlns:pic="http://schemas.openxmlformats.org/drawingml/2006/picture">
                  <pic:nvPicPr>
                    <pic:cNvPr id="37" name="图形 37"/>
                    <pic:cNvPicPr/>
                  </pic:nvPicPr>
                  <pic:blipFill>
                    <a:blip r:embed="rId12">
                      <a:extLst>
                        <a:ext uri="{96DAC541-7B7A-43D3-8B79-37D633B846F1}">
                          <asvg:svgBlip xmlns:asvg="http://schemas.microsoft.com/office/drawing/2016/SVG/main" r:embed="rId13"/>
                        </a:ext>
                      </a:extLst>
                    </a:blip>
                    <a:stretch>
                      <a:fillRect/>
                    </a:stretch>
                  </pic:blipFill>
                  <pic:spPr>
                    <a:xfrm>
                      <a:off x="0" y="0"/>
                      <a:ext cx="3664585" cy="2820035"/>
                    </a:xfrm>
                    <a:prstGeom prst="rect">
                      <a:avLst/>
                    </a:prstGeom>
                  </pic:spPr>
                </pic:pic>
              </a:graphicData>
            </a:graphic>
          </wp:inline>
        </w:drawing>
      </w:r>
    </w:p>
    <w:p w14:paraId="7B98F169">
      <w:pPr>
        <w:pStyle w:val="2"/>
        <w:rPr>
          <w:color w:val="auto"/>
        </w:rPr>
      </w:pPr>
      <w:r>
        <w:rPr>
          <w:b/>
          <w:color w:val="auto"/>
        </w:rPr>
        <w:t>Figure S</w:t>
      </w:r>
      <w:r>
        <w:rPr>
          <w:bCs w:val="0"/>
          <w:color w:val="auto"/>
        </w:rPr>
        <w:fldChar w:fldCharType="begin"/>
      </w:r>
      <w:r>
        <w:rPr>
          <w:bCs w:val="0"/>
          <w:color w:val="auto"/>
        </w:rPr>
        <w:instrText xml:space="preserve"> SEQ Figure_S \* ARABIC </w:instrText>
      </w:r>
      <w:r>
        <w:rPr>
          <w:bCs w:val="0"/>
          <w:color w:val="auto"/>
        </w:rPr>
        <w:fldChar w:fldCharType="separate"/>
      </w:r>
      <w:r>
        <w:rPr>
          <w:bCs w:val="0"/>
          <w:color w:val="auto"/>
        </w:rPr>
        <w:t>4</w:t>
      </w:r>
      <w:r>
        <w:rPr>
          <w:bCs w:val="0"/>
          <w:color w:val="auto"/>
        </w:rPr>
        <w:fldChar w:fldCharType="end"/>
      </w:r>
      <w:r>
        <w:rPr>
          <w:bCs w:val="0"/>
          <w:color w:val="auto"/>
        </w:rPr>
        <w:t xml:space="preserve"> </w:t>
      </w:r>
      <w:r>
        <w:rPr>
          <w:color w:val="auto"/>
        </w:rPr>
        <w:t>Analysis of PDOS for different d orbitals in Mn-BTA.</w:t>
      </w:r>
    </w:p>
    <w:p w14:paraId="35724A2C">
      <w:pPr>
        <w:keepNext/>
        <w:jc w:val="center"/>
        <w:rPr>
          <w:color w:val="auto"/>
          <w:sz w:val="20"/>
          <w:szCs w:val="20"/>
        </w:rPr>
      </w:pPr>
      <w:r>
        <w:rPr>
          <w:color w:val="auto"/>
          <w:sz w:val="20"/>
          <w:szCs w:val="20"/>
        </w:rPr>
        <w:drawing>
          <wp:inline distT="0" distB="0" distL="0" distR="0">
            <wp:extent cx="3669030" cy="2703830"/>
            <wp:effectExtent l="0" t="0" r="0" b="1270"/>
            <wp:docPr id="36" name="图形 36"/>
            <wp:cNvGraphicFramePr/>
            <a:graphic xmlns:a="http://schemas.openxmlformats.org/drawingml/2006/main">
              <a:graphicData uri="http://schemas.openxmlformats.org/drawingml/2006/picture">
                <pic:pic xmlns:pic="http://schemas.openxmlformats.org/drawingml/2006/picture">
                  <pic:nvPicPr>
                    <pic:cNvPr id="36" name="图形 36"/>
                    <pic:cNvPicPr/>
                  </pic:nvPicPr>
                  <pic:blipFill>
                    <a:blip r:embed="rId14">
                      <a:extLst>
                        <a:ext uri="{96DAC541-7B7A-43D3-8B79-37D633B846F1}">
                          <asvg:svgBlip xmlns:asvg="http://schemas.microsoft.com/office/drawing/2016/SVG/main" r:embed="rId15"/>
                        </a:ext>
                      </a:extLst>
                    </a:blip>
                    <a:stretch>
                      <a:fillRect/>
                    </a:stretch>
                  </pic:blipFill>
                  <pic:spPr>
                    <a:xfrm>
                      <a:off x="0" y="0"/>
                      <a:ext cx="3664585" cy="2708275"/>
                    </a:xfrm>
                    <a:prstGeom prst="rect">
                      <a:avLst/>
                    </a:prstGeom>
                  </pic:spPr>
                </pic:pic>
              </a:graphicData>
            </a:graphic>
          </wp:inline>
        </w:drawing>
      </w:r>
    </w:p>
    <w:p w14:paraId="7C944BBA">
      <w:pPr>
        <w:pStyle w:val="2"/>
        <w:rPr>
          <w:b/>
          <w:color w:val="auto"/>
        </w:rPr>
      </w:pPr>
      <w:r>
        <w:rPr>
          <w:b/>
          <w:color w:val="auto"/>
        </w:rPr>
        <w:t>Figure S</w:t>
      </w:r>
      <w:r>
        <w:rPr>
          <w:bCs w:val="0"/>
          <w:color w:val="auto"/>
        </w:rPr>
        <w:fldChar w:fldCharType="begin"/>
      </w:r>
      <w:r>
        <w:rPr>
          <w:bCs w:val="0"/>
          <w:color w:val="auto"/>
        </w:rPr>
        <w:instrText xml:space="preserve"> SEQ Figure_S \* ARABIC </w:instrText>
      </w:r>
      <w:r>
        <w:rPr>
          <w:bCs w:val="0"/>
          <w:color w:val="auto"/>
        </w:rPr>
        <w:fldChar w:fldCharType="separate"/>
      </w:r>
      <w:r>
        <w:rPr>
          <w:bCs w:val="0"/>
          <w:color w:val="auto"/>
        </w:rPr>
        <w:t>5</w:t>
      </w:r>
      <w:r>
        <w:rPr>
          <w:bCs w:val="0"/>
          <w:color w:val="auto"/>
        </w:rPr>
        <w:fldChar w:fldCharType="end"/>
      </w:r>
      <w:r>
        <w:rPr>
          <w:color w:val="auto"/>
        </w:rPr>
        <w:t xml:space="preserve"> </w:t>
      </w:r>
      <w:r>
        <w:rPr>
          <w:b/>
          <w:bCs w:val="0"/>
          <w:color w:val="auto"/>
        </w:rPr>
        <w:t>Comparison of adsorption energies for K atoms on Ni-BTA, Co-BTA, and Mn-BTA.</w:t>
      </w:r>
      <w:r>
        <w:rPr>
          <w:color w:val="auto"/>
        </w:rPr>
        <w:t xml:space="preserve"> (Ni-BTA exhibits the weakest adsorption for K atoms, indicating superior migration capability of K atoms along Ni-BTA chains.)</w:t>
      </w:r>
    </w:p>
    <w:p w14:paraId="602A254A">
      <w:pPr>
        <w:jc w:val="center"/>
        <w:rPr>
          <w:color w:val="auto"/>
          <w:sz w:val="20"/>
          <w:szCs w:val="20"/>
        </w:rPr>
      </w:pPr>
    </w:p>
    <w:p w14:paraId="4BE57880">
      <w:pPr>
        <w:keepNext/>
        <w:jc w:val="center"/>
        <w:rPr>
          <w:color w:val="auto"/>
          <w:sz w:val="20"/>
          <w:szCs w:val="20"/>
        </w:rPr>
      </w:pPr>
      <w:r>
        <w:rPr>
          <w:color w:val="auto"/>
          <w:sz w:val="20"/>
          <w:szCs w:val="20"/>
        </w:rPr>
        <w:drawing>
          <wp:inline distT="0" distB="0" distL="0" distR="0">
            <wp:extent cx="5278755" cy="196342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8755" cy="1963420"/>
                    </a:xfrm>
                    <a:prstGeom prst="rect">
                      <a:avLst/>
                    </a:prstGeom>
                    <a:noFill/>
                    <a:ln>
                      <a:noFill/>
                    </a:ln>
                  </pic:spPr>
                </pic:pic>
              </a:graphicData>
            </a:graphic>
          </wp:inline>
        </w:drawing>
      </w:r>
    </w:p>
    <w:p w14:paraId="3D4CA090">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6</w:t>
      </w:r>
      <w:r>
        <w:rPr>
          <w:b/>
          <w:color w:val="auto"/>
        </w:rPr>
        <w:fldChar w:fldCharType="end"/>
      </w:r>
      <w:r>
        <w:rPr>
          <w:color w:val="auto"/>
        </w:rPr>
        <w:t xml:space="preserve"> </w:t>
      </w:r>
      <w:r>
        <w:rPr>
          <w:b/>
          <w:bCs w:val="0"/>
          <w:color w:val="auto"/>
        </w:rPr>
        <w:t>SEM images of Mn-BTA and Co-BTA.</w:t>
      </w:r>
      <w:r>
        <w:rPr>
          <w:color w:val="auto"/>
        </w:rPr>
        <w:t xml:space="preserve"> (a) Mn-BTA, (b) Co-BTA.</w:t>
      </w:r>
    </w:p>
    <w:p w14:paraId="3FB89AE4">
      <w:pPr>
        <w:jc w:val="center"/>
        <w:rPr>
          <w:color w:val="auto"/>
          <w:sz w:val="20"/>
          <w:szCs w:val="20"/>
        </w:rPr>
      </w:pPr>
    </w:p>
    <w:p w14:paraId="281AE9DB">
      <w:pPr>
        <w:keepNext/>
        <w:jc w:val="center"/>
        <w:rPr>
          <w:color w:val="auto"/>
          <w:sz w:val="20"/>
          <w:szCs w:val="20"/>
        </w:rPr>
      </w:pPr>
      <w:r>
        <w:rPr>
          <w:color w:val="auto"/>
          <w:sz w:val="20"/>
          <w:szCs w:val="20"/>
        </w:rPr>
        <w:drawing>
          <wp:inline distT="0" distB="0" distL="0" distR="0">
            <wp:extent cx="5278755" cy="210375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8755" cy="2103755"/>
                    </a:xfrm>
                    <a:prstGeom prst="rect">
                      <a:avLst/>
                    </a:prstGeom>
                    <a:noFill/>
                    <a:ln>
                      <a:noFill/>
                    </a:ln>
                  </pic:spPr>
                </pic:pic>
              </a:graphicData>
            </a:graphic>
          </wp:inline>
        </w:drawing>
      </w:r>
    </w:p>
    <w:p w14:paraId="2B8A45E9">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7</w:t>
      </w:r>
      <w:r>
        <w:rPr>
          <w:b/>
          <w:color w:val="auto"/>
        </w:rPr>
        <w:fldChar w:fldCharType="end"/>
      </w:r>
      <w:r>
        <w:rPr>
          <w:b/>
          <w:color w:val="auto"/>
        </w:rPr>
        <w:t xml:space="preserve"> </w:t>
      </w:r>
      <w:r>
        <w:rPr>
          <w:color w:val="auto"/>
        </w:rPr>
        <w:t>Surface crystallization of Ni-BTA, Co-BTA, and Mn-BTA prepared by vapor diffusion method after 10 minutes of reaction.</w:t>
      </w:r>
    </w:p>
    <w:p w14:paraId="72A8BCD4">
      <w:pPr>
        <w:keepNext/>
        <w:jc w:val="center"/>
        <w:rPr>
          <w:color w:val="auto"/>
          <w:sz w:val="20"/>
          <w:szCs w:val="20"/>
        </w:rPr>
      </w:pPr>
      <w:r>
        <w:rPr>
          <w:color w:val="auto"/>
          <w:sz w:val="20"/>
          <w:szCs w:val="20"/>
        </w:rPr>
        <w:drawing>
          <wp:inline distT="0" distB="0" distL="0" distR="0">
            <wp:extent cx="5104765" cy="2210435"/>
            <wp:effectExtent l="0" t="0" r="635" b="0"/>
            <wp:docPr id="33" name="图形 33"/>
            <wp:cNvGraphicFramePr/>
            <a:graphic xmlns:a="http://schemas.openxmlformats.org/drawingml/2006/main">
              <a:graphicData uri="http://schemas.openxmlformats.org/drawingml/2006/picture">
                <pic:pic xmlns:pic="http://schemas.openxmlformats.org/drawingml/2006/picture">
                  <pic:nvPicPr>
                    <pic:cNvPr id="33" name="图形 33"/>
                    <pic:cNvPicPr/>
                  </pic:nvPicPr>
                  <pic:blipFill>
                    <a:blip r:embed="rId18">
                      <a:extLst>
                        <a:ext uri="{96DAC541-7B7A-43D3-8B79-37D633B846F1}">
                          <asvg:svgBlip xmlns:asvg="http://schemas.microsoft.com/office/drawing/2016/SVG/main" r:embed="rId19"/>
                        </a:ext>
                      </a:extLst>
                    </a:blip>
                    <a:stretch>
                      <a:fillRect/>
                    </a:stretch>
                  </pic:blipFill>
                  <pic:spPr>
                    <a:xfrm>
                      <a:off x="0" y="0"/>
                      <a:ext cx="5103495" cy="2205990"/>
                    </a:xfrm>
                    <a:prstGeom prst="rect">
                      <a:avLst/>
                    </a:prstGeom>
                  </pic:spPr>
                </pic:pic>
              </a:graphicData>
            </a:graphic>
          </wp:inline>
        </w:drawing>
      </w:r>
    </w:p>
    <w:p w14:paraId="6D512D69">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8</w:t>
      </w:r>
      <w:r>
        <w:rPr>
          <w:b/>
          <w:color w:val="auto"/>
        </w:rPr>
        <w:fldChar w:fldCharType="end"/>
      </w:r>
      <w:r>
        <w:rPr>
          <w:b/>
          <w:color w:val="auto"/>
        </w:rPr>
        <w:t xml:space="preserve"> Co-BTA and Mn-BTA XRD characteristic diffraction peaks.</w:t>
      </w:r>
    </w:p>
    <w:p w14:paraId="4E611244">
      <w:pPr>
        <w:pStyle w:val="2"/>
        <w:numPr>
          <w:ilvl w:val="0"/>
          <w:numId w:val="1"/>
        </w:numPr>
        <w:rPr>
          <w:color w:val="auto"/>
        </w:rPr>
      </w:pPr>
      <w:r>
        <w:rPr>
          <w:color w:val="auto"/>
        </w:rPr>
        <w:t>Co-BTA, (b) Mn-BTA.</w:t>
      </w:r>
    </w:p>
    <w:p w14:paraId="0ACA32BA">
      <w:pPr>
        <w:rPr>
          <w:color w:val="auto"/>
        </w:rPr>
      </w:pPr>
    </w:p>
    <w:p w14:paraId="48F92BCA">
      <w:pPr>
        <w:rPr>
          <w:color w:val="auto"/>
        </w:rPr>
      </w:pPr>
    </w:p>
    <w:p w14:paraId="7D06A147">
      <w:pPr>
        <w:keepNext/>
        <w:jc w:val="center"/>
        <w:rPr>
          <w:color w:val="auto"/>
          <w:sz w:val="20"/>
          <w:szCs w:val="20"/>
        </w:rPr>
      </w:pPr>
      <w:r>
        <w:rPr>
          <w:color w:val="auto"/>
          <w:sz w:val="20"/>
          <w:szCs w:val="20"/>
        </w:rPr>
        <w:drawing>
          <wp:inline distT="0" distB="0" distL="0" distR="0">
            <wp:extent cx="5267325" cy="1907540"/>
            <wp:effectExtent l="0" t="0" r="952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67325" cy="1907540"/>
                    </a:xfrm>
                    <a:prstGeom prst="rect">
                      <a:avLst/>
                    </a:prstGeom>
                    <a:noFill/>
                    <a:ln>
                      <a:noFill/>
                    </a:ln>
                  </pic:spPr>
                </pic:pic>
              </a:graphicData>
            </a:graphic>
          </wp:inline>
        </w:drawing>
      </w:r>
    </w:p>
    <w:p w14:paraId="36CC7618">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9</w:t>
      </w:r>
      <w:r>
        <w:rPr>
          <w:b/>
          <w:color w:val="auto"/>
        </w:rPr>
        <w:fldChar w:fldCharType="end"/>
      </w:r>
      <w:r>
        <w:rPr>
          <w:b/>
          <w:color w:val="auto"/>
        </w:rPr>
        <w:t xml:space="preserve"> TEM images and lattice spacing characteristics of Ni-BTA. </w:t>
      </w:r>
    </w:p>
    <w:p w14:paraId="02661430">
      <w:pPr>
        <w:pStyle w:val="2"/>
        <w:rPr>
          <w:color w:val="auto"/>
        </w:rPr>
      </w:pPr>
      <w:r>
        <w:rPr>
          <w:color w:val="auto"/>
        </w:rPr>
        <w:t>(a) TEM image, (b) Lattice spacing corresponding to the (042) crystal plane.</w:t>
      </w:r>
    </w:p>
    <w:p w14:paraId="21211E6D">
      <w:pPr>
        <w:jc w:val="center"/>
        <w:rPr>
          <w:color w:val="auto"/>
          <w:sz w:val="20"/>
          <w:szCs w:val="20"/>
        </w:rPr>
      </w:pPr>
    </w:p>
    <w:p w14:paraId="0E98FCCA">
      <w:pPr>
        <w:keepNext/>
        <w:jc w:val="center"/>
        <w:rPr>
          <w:color w:val="auto"/>
          <w:sz w:val="20"/>
          <w:szCs w:val="20"/>
        </w:rPr>
      </w:pPr>
      <w:r>
        <w:rPr>
          <w:color w:val="auto"/>
          <w:sz w:val="20"/>
          <w:szCs w:val="20"/>
        </w:rPr>
        <w:drawing>
          <wp:inline distT="0" distB="0" distL="0" distR="0">
            <wp:extent cx="4650740" cy="499300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1">
                      <a:extLst>
                        <a:ext uri="{28A0092B-C50C-407E-A947-70E740481C1C}">
                          <a14:useLocalDpi xmlns:a14="http://schemas.microsoft.com/office/drawing/2010/main" val="0"/>
                        </a:ext>
                      </a:extLst>
                    </a:blip>
                    <a:srcRect r="11945"/>
                    <a:stretch>
                      <a:fillRect/>
                    </a:stretch>
                  </pic:blipFill>
                  <pic:spPr>
                    <a:xfrm>
                      <a:off x="0" y="0"/>
                      <a:ext cx="4650740" cy="4993005"/>
                    </a:xfrm>
                    <a:prstGeom prst="rect">
                      <a:avLst/>
                    </a:prstGeom>
                    <a:noFill/>
                    <a:ln>
                      <a:noFill/>
                    </a:ln>
                  </pic:spPr>
                </pic:pic>
              </a:graphicData>
            </a:graphic>
          </wp:inline>
        </w:drawing>
      </w:r>
    </w:p>
    <w:p w14:paraId="1E269CEA">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10</w:t>
      </w:r>
      <w:r>
        <w:rPr>
          <w:b/>
          <w:color w:val="auto"/>
        </w:rPr>
        <w:fldChar w:fldCharType="end"/>
      </w:r>
      <w:r>
        <w:rPr>
          <w:b/>
          <w:color w:val="auto"/>
        </w:rPr>
        <w:t xml:space="preserve"> </w:t>
      </w:r>
      <w:r>
        <w:rPr>
          <w:color w:val="auto"/>
        </w:rPr>
        <w:t>XRD simulations of Ni-BTA expansion along different axes based on herringbone packing.</w:t>
      </w:r>
    </w:p>
    <w:p w14:paraId="4A5E7414">
      <w:pPr>
        <w:keepNext/>
        <w:jc w:val="center"/>
        <w:rPr>
          <w:color w:val="auto"/>
          <w:sz w:val="20"/>
          <w:szCs w:val="20"/>
        </w:rPr>
      </w:pPr>
      <w:r>
        <w:rPr>
          <w:color w:val="auto"/>
          <w:sz w:val="20"/>
          <w:szCs w:val="20"/>
        </w:rPr>
        <w:drawing>
          <wp:inline distT="0" distB="0" distL="0" distR="0">
            <wp:extent cx="5278755" cy="3382645"/>
            <wp:effectExtent l="0" t="0" r="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8755" cy="3382645"/>
                    </a:xfrm>
                    <a:prstGeom prst="rect">
                      <a:avLst/>
                    </a:prstGeom>
                    <a:noFill/>
                    <a:ln>
                      <a:noFill/>
                    </a:ln>
                  </pic:spPr>
                </pic:pic>
              </a:graphicData>
            </a:graphic>
          </wp:inline>
        </w:drawing>
      </w:r>
    </w:p>
    <w:p w14:paraId="24981083">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11</w:t>
      </w:r>
      <w:r>
        <w:rPr>
          <w:b/>
          <w:color w:val="auto"/>
        </w:rPr>
        <w:fldChar w:fldCharType="end"/>
      </w:r>
      <w:r>
        <w:rPr>
          <w:b/>
          <w:color w:val="auto"/>
        </w:rPr>
        <w:t xml:space="preserve"> </w:t>
      </w:r>
      <w:r>
        <w:rPr>
          <w:color w:val="auto"/>
        </w:rPr>
        <w:t>XRD simulations of Ni-BTA expansion along different axes based on two dimensional (2D) π–π stacking lamellar packing.</w:t>
      </w:r>
    </w:p>
    <w:p w14:paraId="78BE44FB">
      <w:pPr>
        <w:pStyle w:val="2"/>
        <w:rPr>
          <w:color w:val="auto"/>
        </w:rPr>
      </w:pPr>
    </w:p>
    <w:p w14:paraId="366957C1">
      <w:pPr>
        <w:keepNext/>
        <w:jc w:val="center"/>
        <w:rPr>
          <w:color w:val="auto"/>
          <w:sz w:val="20"/>
          <w:szCs w:val="20"/>
        </w:rPr>
      </w:pPr>
      <w:r>
        <w:rPr>
          <w:color w:val="auto"/>
          <w:sz w:val="20"/>
          <w:szCs w:val="20"/>
        </w:rPr>
        <w:drawing>
          <wp:inline distT="0" distB="0" distL="0" distR="0">
            <wp:extent cx="5278755" cy="341058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78755" cy="3410585"/>
                    </a:xfrm>
                    <a:prstGeom prst="rect">
                      <a:avLst/>
                    </a:prstGeom>
                    <a:noFill/>
                    <a:ln>
                      <a:noFill/>
                    </a:ln>
                  </pic:spPr>
                </pic:pic>
              </a:graphicData>
            </a:graphic>
          </wp:inline>
        </w:drawing>
      </w:r>
    </w:p>
    <w:p w14:paraId="025869A6">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12</w:t>
      </w:r>
      <w:r>
        <w:rPr>
          <w:b/>
          <w:color w:val="auto"/>
        </w:rPr>
        <w:fldChar w:fldCharType="end"/>
      </w:r>
      <w:r>
        <w:rPr>
          <w:color w:val="auto"/>
        </w:rPr>
        <w:t xml:space="preserve"> XRD simulations of Ni-BTA expansion along different axes based on one dimensional (1D) π–π stacking lamellar packing.</w:t>
      </w:r>
    </w:p>
    <w:p w14:paraId="14D9B350">
      <w:pPr>
        <w:keepNext/>
        <w:jc w:val="center"/>
        <w:rPr>
          <w:color w:val="auto"/>
          <w:sz w:val="20"/>
          <w:szCs w:val="20"/>
        </w:rPr>
      </w:pPr>
      <w:r>
        <w:rPr>
          <w:color w:val="auto"/>
          <w:sz w:val="20"/>
          <w:szCs w:val="20"/>
        </w:rPr>
        <w:drawing>
          <wp:inline distT="0" distB="0" distL="0" distR="0">
            <wp:extent cx="4050030" cy="2199005"/>
            <wp:effectExtent l="0" t="0" r="762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050030" cy="2199005"/>
                    </a:xfrm>
                    <a:prstGeom prst="rect">
                      <a:avLst/>
                    </a:prstGeom>
                    <a:noFill/>
                    <a:ln>
                      <a:noFill/>
                    </a:ln>
                  </pic:spPr>
                </pic:pic>
              </a:graphicData>
            </a:graphic>
          </wp:inline>
        </w:drawing>
      </w:r>
    </w:p>
    <w:p w14:paraId="636F3DF9">
      <w:pPr>
        <w:keepNext/>
        <w:jc w:val="center"/>
        <w:rPr>
          <w:color w:val="auto"/>
          <w:sz w:val="20"/>
          <w:szCs w:val="20"/>
        </w:rPr>
      </w:pPr>
    </w:p>
    <w:p w14:paraId="7EC0CBC5">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13</w:t>
      </w:r>
      <w:r>
        <w:rPr>
          <w:b/>
          <w:color w:val="auto"/>
        </w:rPr>
        <w:fldChar w:fldCharType="end"/>
      </w:r>
      <w:r>
        <w:rPr>
          <w:b/>
          <w:color w:val="auto"/>
        </w:rPr>
        <w:t xml:space="preserve"> Electron localization function (ELF)-π analysis based on a single molecular unit of Ni-BTA. </w:t>
      </w:r>
      <w:r>
        <w:rPr>
          <w:color w:val="auto"/>
        </w:rPr>
        <w:t>(In the structure of Ni-BTA, notably around the C-N and C-C bonds, pronounced regions of high localization were observed, indicating strong electron localization in these areas. In contrast, electron localization around the Ni atom was relatively low, suggesting a more dispersed d-electron cloud in Ni²⁺, consistent with the electronic characteristics of transition metal cations. The coordination bond between Ni and the BTA ligand exhibits moderate locality, indicating a mixed covalent-ionic nature of the bond. Along the one-dimensional chain, electron localization is relatively uniform, signifying a continuous distribution of electrons along this direction, contributing to the formation and stabilization of the one-dimensional chain.)</w:t>
      </w:r>
    </w:p>
    <w:p w14:paraId="45562EE4">
      <w:pPr>
        <w:keepNext/>
        <w:jc w:val="center"/>
        <w:rPr>
          <w:color w:val="auto"/>
          <w:sz w:val="20"/>
          <w:szCs w:val="20"/>
        </w:rPr>
      </w:pPr>
      <w:r>
        <w:rPr>
          <w:color w:val="auto"/>
          <w:sz w:val="20"/>
          <w:szCs w:val="20"/>
        </w:rPr>
        <w:drawing>
          <wp:inline distT="0" distB="0" distL="0" distR="0">
            <wp:extent cx="5172075" cy="2687320"/>
            <wp:effectExtent l="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5">
                      <a:extLst>
                        <a:ext uri="{28A0092B-C50C-407E-A947-70E740481C1C}">
                          <a14:useLocalDpi xmlns:a14="http://schemas.microsoft.com/office/drawing/2010/main" val="0"/>
                        </a:ext>
                      </a:extLst>
                    </a:blip>
                    <a:srcRect b="7562"/>
                    <a:stretch>
                      <a:fillRect/>
                    </a:stretch>
                  </pic:blipFill>
                  <pic:spPr>
                    <a:xfrm>
                      <a:off x="0" y="0"/>
                      <a:ext cx="5172075" cy="2687320"/>
                    </a:xfrm>
                    <a:prstGeom prst="rect">
                      <a:avLst/>
                    </a:prstGeom>
                    <a:noFill/>
                    <a:ln>
                      <a:noFill/>
                    </a:ln>
                  </pic:spPr>
                </pic:pic>
              </a:graphicData>
            </a:graphic>
          </wp:inline>
        </w:drawing>
      </w:r>
    </w:p>
    <w:p w14:paraId="1651B114">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14</w:t>
      </w:r>
      <w:r>
        <w:rPr>
          <w:b/>
          <w:color w:val="auto"/>
        </w:rPr>
        <w:fldChar w:fldCharType="end"/>
      </w:r>
      <w:r>
        <w:rPr>
          <w:b/>
          <w:color w:val="auto"/>
        </w:rPr>
        <w:t xml:space="preserve"> Graphical investigation of chemical bonds and weak interactions in Ni-BTA molecular crystals based on the IRI method. </w:t>
      </w:r>
      <w:r>
        <w:rPr>
          <w:color w:val="auto"/>
        </w:rPr>
        <w:t>(In this figure, a predominantly green IRI isosurface indicates a van der Waals interaction region. A visibly red isosurface suggests the presence of steric hindrance, with bright red indicating strong steric effects. A noticeably blue isosurface indicates significant attractive interactions, such as moderate hydrogen bonds or halogen bonds. A completely blue isosurface signifies relatively strong weak interactions. In Ni-BTA, it shows significant weak interactions, including hydrogen bonding and π-π stacking between neighboring molecules, visually demonstrating the prominent presence of weak interactions within the Ni-BTA molecular crystal.)</w:t>
      </w:r>
    </w:p>
    <w:p w14:paraId="57031458">
      <w:pPr>
        <w:keepNext/>
        <w:jc w:val="center"/>
        <w:rPr>
          <w:color w:val="auto"/>
          <w:sz w:val="20"/>
          <w:szCs w:val="20"/>
        </w:rPr>
      </w:pPr>
      <w:r>
        <w:rPr>
          <w:color w:val="auto"/>
          <w:sz w:val="20"/>
          <w:szCs w:val="20"/>
        </w:rPr>
        <w:drawing>
          <wp:inline distT="0" distB="0" distL="0" distR="0">
            <wp:extent cx="5048885" cy="533463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048885" cy="5334635"/>
                    </a:xfrm>
                    <a:prstGeom prst="rect">
                      <a:avLst/>
                    </a:prstGeom>
                    <a:noFill/>
                    <a:ln>
                      <a:noFill/>
                    </a:ln>
                  </pic:spPr>
                </pic:pic>
              </a:graphicData>
            </a:graphic>
          </wp:inline>
        </w:drawing>
      </w:r>
    </w:p>
    <w:p w14:paraId="2C306A22">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15</w:t>
      </w:r>
      <w:r>
        <w:rPr>
          <w:b/>
          <w:color w:val="auto"/>
        </w:rPr>
        <w:fldChar w:fldCharType="end"/>
      </w:r>
      <w:r>
        <w:rPr>
          <w:b/>
          <w:color w:val="auto"/>
        </w:rPr>
        <w:t xml:space="preserve"> </w:t>
      </w:r>
      <w:r>
        <w:rPr>
          <w:color w:val="auto"/>
        </w:rPr>
        <w:t>Molecular orbital and fragment charge interaction analysis based on a single molecular unit of Ni-BTA.</w:t>
      </w:r>
    </w:p>
    <w:p w14:paraId="58645EFC">
      <w:pPr>
        <w:keepNext/>
        <w:jc w:val="center"/>
        <w:rPr>
          <w:color w:val="auto"/>
          <w:sz w:val="20"/>
          <w:szCs w:val="20"/>
        </w:rPr>
      </w:pPr>
      <w:r>
        <w:rPr>
          <w:color w:val="auto"/>
          <w:sz w:val="20"/>
          <w:szCs w:val="20"/>
        </w:rPr>
        <w:drawing>
          <wp:inline distT="0" distB="0" distL="0" distR="0">
            <wp:extent cx="5278755" cy="3982720"/>
            <wp:effectExtent l="0" t="0" r="0" b="0"/>
            <wp:docPr id="40" name="图形 40"/>
            <wp:cNvGraphicFramePr/>
            <a:graphic xmlns:a="http://schemas.openxmlformats.org/drawingml/2006/main">
              <a:graphicData uri="http://schemas.openxmlformats.org/drawingml/2006/picture">
                <pic:pic xmlns:pic="http://schemas.openxmlformats.org/drawingml/2006/picture">
                  <pic:nvPicPr>
                    <pic:cNvPr id="40" name="图形 40"/>
                    <pic:cNvPicPr/>
                  </pic:nvPicPr>
                  <pic:blipFill>
                    <a:blip r:embed="rId27">
                      <a:extLst>
                        <a:ext uri="{96DAC541-7B7A-43D3-8B79-37D633B846F1}">
                          <asvg:svgBlip xmlns:asvg="http://schemas.microsoft.com/office/drawing/2016/SVG/main" r:embed="rId28"/>
                        </a:ext>
                      </a:extLst>
                    </a:blip>
                    <a:stretch>
                      <a:fillRect/>
                    </a:stretch>
                  </pic:blipFill>
                  <pic:spPr>
                    <a:xfrm>
                      <a:off x="0" y="0"/>
                      <a:ext cx="5274310" cy="3985260"/>
                    </a:xfrm>
                    <a:prstGeom prst="rect">
                      <a:avLst/>
                    </a:prstGeom>
                  </pic:spPr>
                </pic:pic>
              </a:graphicData>
            </a:graphic>
          </wp:inline>
        </w:drawing>
      </w:r>
    </w:p>
    <w:p w14:paraId="1D9CD213">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16</w:t>
      </w:r>
      <w:r>
        <w:rPr>
          <w:b/>
          <w:color w:val="auto"/>
        </w:rPr>
        <w:fldChar w:fldCharType="end"/>
      </w:r>
      <w:r>
        <w:rPr>
          <w:b/>
          <w:color w:val="auto"/>
        </w:rPr>
        <w:t xml:space="preserve"> </w:t>
      </w:r>
      <w:r>
        <w:rPr>
          <w:color w:val="auto"/>
        </w:rPr>
        <w:t>Thermogravimetric (TG) and differential scanning calorimetry (DSC) curves of TM-BTA under Air. (a) Ni, Co, MN-BTA TG curves. (b) Ni-BTA (c) Co-BTA (d) Mn-BTA.</w:t>
      </w:r>
    </w:p>
    <w:p w14:paraId="2433E54A">
      <w:pPr>
        <w:jc w:val="both"/>
        <w:rPr>
          <w:color w:val="auto"/>
          <w:sz w:val="20"/>
          <w:szCs w:val="20"/>
        </w:rPr>
      </w:pPr>
    </w:p>
    <w:p w14:paraId="75F01F2C">
      <w:pPr>
        <w:keepNext/>
        <w:jc w:val="center"/>
        <w:rPr>
          <w:color w:val="auto"/>
          <w:sz w:val="20"/>
          <w:szCs w:val="20"/>
        </w:rPr>
      </w:pPr>
      <w:r>
        <w:rPr>
          <w:color w:val="auto"/>
          <w:sz w:val="20"/>
          <w:szCs w:val="20"/>
        </w:rPr>
        <w:drawing>
          <wp:inline distT="0" distB="0" distL="0" distR="0">
            <wp:extent cx="3236595" cy="2485390"/>
            <wp:effectExtent l="0" t="0" r="1905" b="0"/>
            <wp:docPr id="22" name="图形 22"/>
            <wp:cNvGraphicFramePr/>
            <a:graphic xmlns:a="http://schemas.openxmlformats.org/drawingml/2006/main">
              <a:graphicData uri="http://schemas.openxmlformats.org/drawingml/2006/picture">
                <pic:pic xmlns:pic="http://schemas.openxmlformats.org/drawingml/2006/picture">
                  <pic:nvPicPr>
                    <pic:cNvPr id="22" name="图形 22"/>
                    <pic:cNvPicPr/>
                  </pic:nvPicPr>
                  <pic:blipFill>
                    <a:blip r:embed="rId29">
                      <a:extLst>
                        <a:ext uri="{96DAC541-7B7A-43D3-8B79-37D633B846F1}">
                          <asvg:svgBlip xmlns:asvg="http://schemas.microsoft.com/office/drawing/2016/SVG/main" r:embed="rId30"/>
                        </a:ext>
                      </a:extLst>
                    </a:blip>
                    <a:stretch>
                      <a:fillRect/>
                    </a:stretch>
                  </pic:blipFill>
                  <pic:spPr>
                    <a:xfrm>
                      <a:off x="0" y="0"/>
                      <a:ext cx="3240405" cy="2489200"/>
                    </a:xfrm>
                    <a:prstGeom prst="rect">
                      <a:avLst/>
                    </a:prstGeom>
                  </pic:spPr>
                </pic:pic>
              </a:graphicData>
            </a:graphic>
          </wp:inline>
        </w:drawing>
      </w:r>
    </w:p>
    <w:p w14:paraId="17E8CC47">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17</w:t>
      </w:r>
      <w:r>
        <w:rPr>
          <w:b/>
          <w:color w:val="auto"/>
        </w:rPr>
        <w:fldChar w:fldCharType="end"/>
      </w:r>
      <w:r>
        <w:rPr>
          <w:color w:val="auto"/>
        </w:rPr>
        <w:t xml:space="preserve"> Comparison of experimental and theoretical CHNO analysis values for Ni-BTA.</w:t>
      </w:r>
    </w:p>
    <w:p w14:paraId="661F2720">
      <w:pPr>
        <w:jc w:val="center"/>
        <w:rPr>
          <w:rFonts w:eastAsiaTheme="minorEastAsia"/>
          <w:color w:val="auto"/>
          <w:sz w:val="20"/>
          <w:szCs w:val="20"/>
          <w:lang w:val="en-US" w:eastAsia="zh-CN"/>
        </w:rPr>
      </w:pPr>
      <w:r>
        <w:rPr>
          <w:color w:val="auto"/>
          <w:sz w:val="20"/>
          <w:szCs w:val="20"/>
        </w:rPr>
        <w:drawing>
          <wp:inline distT="0" distB="0" distL="0" distR="0">
            <wp:extent cx="2524125" cy="2009775"/>
            <wp:effectExtent l="0" t="0" r="9525" b="9525"/>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形 1"/>
                    <pic:cNvPicPr>
                      <a:picLocks noChangeAspect="1"/>
                    </pic:cNvPicPr>
                  </pic:nvPicPr>
                  <pic:blipFill>
                    <a:blip r:embed="rId31">
                      <a:extLst>
                        <a:ext uri="{96DAC541-7B7A-43D3-8B79-37D633B846F1}">
                          <asvg:svgBlip xmlns:asvg="http://schemas.microsoft.com/office/drawing/2016/SVG/main" r:embed="rId32"/>
                        </a:ext>
                      </a:extLst>
                    </a:blip>
                    <a:stretch>
                      <a:fillRect/>
                    </a:stretch>
                  </pic:blipFill>
                  <pic:spPr>
                    <a:xfrm>
                      <a:off x="0" y="0"/>
                      <a:ext cx="2524125" cy="2009775"/>
                    </a:xfrm>
                    <a:prstGeom prst="rect">
                      <a:avLst/>
                    </a:prstGeom>
                  </pic:spPr>
                </pic:pic>
              </a:graphicData>
            </a:graphic>
          </wp:inline>
        </w:drawing>
      </w:r>
    </w:p>
    <w:p w14:paraId="58F18BD8">
      <w:pPr>
        <w:pStyle w:val="2"/>
        <w:rPr>
          <w:b/>
          <w:color w:val="auto"/>
        </w:rPr>
      </w:pPr>
      <w:r>
        <w:rPr>
          <w:color w:val="auto"/>
        </w:rPr>
        <w:t>·</w:t>
      </w: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18</w:t>
      </w:r>
      <w:r>
        <w:rPr>
          <w:b/>
          <w:color w:val="auto"/>
        </w:rPr>
        <w:fldChar w:fldCharType="end"/>
      </w:r>
      <w:r>
        <w:rPr>
          <w:b/>
          <w:color w:val="auto"/>
        </w:rPr>
        <w:t xml:space="preserve"> </w:t>
      </w:r>
      <w:r>
        <w:rPr>
          <w:color w:val="auto"/>
        </w:rPr>
        <w:t>Infrared characteristic spectra and functional group distribution of Ni-BTA and BTA monomer.</w:t>
      </w:r>
    </w:p>
    <w:p w14:paraId="458EC552">
      <w:pPr>
        <w:keepNext/>
        <w:jc w:val="center"/>
        <w:rPr>
          <w:color w:val="auto"/>
          <w:sz w:val="20"/>
          <w:szCs w:val="20"/>
        </w:rPr>
      </w:pPr>
      <w:r>
        <w:rPr>
          <w:color w:val="auto"/>
          <w:sz w:val="20"/>
          <w:szCs w:val="20"/>
        </w:rPr>
        <w:drawing>
          <wp:inline distT="0" distB="0" distL="0" distR="0">
            <wp:extent cx="5200015" cy="2075815"/>
            <wp:effectExtent l="0" t="0" r="635" b="635"/>
            <wp:docPr id="20" name="图形 20"/>
            <wp:cNvGraphicFramePr/>
            <a:graphic xmlns:a="http://schemas.openxmlformats.org/drawingml/2006/main">
              <a:graphicData uri="http://schemas.openxmlformats.org/drawingml/2006/picture">
                <pic:pic xmlns:pic="http://schemas.openxmlformats.org/drawingml/2006/picture">
                  <pic:nvPicPr>
                    <pic:cNvPr id="20" name="图形 20"/>
                    <pic:cNvPicPr/>
                  </pic:nvPicPr>
                  <pic:blipFill>
                    <a:blip r:embed="rId33">
                      <a:extLst>
                        <a:ext uri="{96DAC541-7B7A-43D3-8B79-37D633B846F1}">
                          <asvg:svgBlip xmlns:asvg="http://schemas.microsoft.com/office/drawing/2016/SVG/main" r:embed="rId34"/>
                        </a:ext>
                      </a:extLst>
                    </a:blip>
                    <a:stretch>
                      <a:fillRect/>
                    </a:stretch>
                  </pic:blipFill>
                  <pic:spPr>
                    <a:xfrm>
                      <a:off x="0" y="0"/>
                      <a:ext cx="5200650" cy="2076450"/>
                    </a:xfrm>
                    <a:prstGeom prst="rect">
                      <a:avLst/>
                    </a:prstGeom>
                  </pic:spPr>
                </pic:pic>
              </a:graphicData>
            </a:graphic>
          </wp:inline>
        </w:drawing>
      </w:r>
    </w:p>
    <w:p w14:paraId="1134AB31">
      <w:pPr>
        <w:pStyle w:val="2"/>
        <w:rPr>
          <w:color w:val="auto"/>
        </w:rPr>
      </w:pPr>
      <w:bookmarkStart w:id="4" w:name="_Hlk202304145"/>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19</w:t>
      </w:r>
      <w:r>
        <w:rPr>
          <w:b/>
          <w:color w:val="auto"/>
        </w:rPr>
        <w:fldChar w:fldCharType="end"/>
      </w:r>
      <w:bookmarkEnd w:id="4"/>
      <w:r>
        <w:rPr>
          <w:color w:val="auto"/>
        </w:rPr>
        <w:t xml:space="preserve"> Co-BTA and Mn-BTA Raman and IR spectra. (a) </w:t>
      </w:r>
      <w:r>
        <w:rPr>
          <w:color w:val="auto"/>
        </w:rPr>
        <w:t>IR spectra</w:t>
      </w:r>
      <w:r>
        <w:rPr>
          <w:color w:val="auto"/>
        </w:rPr>
        <w:t xml:space="preserve">, (b) </w:t>
      </w:r>
      <w:r>
        <w:rPr>
          <w:color w:val="auto"/>
        </w:rPr>
        <w:t>Raman spectra</w:t>
      </w:r>
      <w:r>
        <w:rPr>
          <w:color w:val="auto"/>
        </w:rPr>
        <w:t>.</w:t>
      </w:r>
    </w:p>
    <w:p w14:paraId="5EBDA633">
      <w:pPr>
        <w:rPr>
          <w:color w:val="auto"/>
        </w:rPr>
      </w:pPr>
    </w:p>
    <w:p w14:paraId="3C2C0A07">
      <w:pPr>
        <w:rPr>
          <w:color w:val="auto"/>
        </w:rPr>
      </w:pPr>
    </w:p>
    <w:p w14:paraId="458F5702">
      <w:pPr>
        <w:rPr>
          <w:color w:val="auto"/>
        </w:rPr>
      </w:pPr>
    </w:p>
    <w:p w14:paraId="3EFA0AD4">
      <w:pPr>
        <w:rPr>
          <w:color w:val="auto"/>
        </w:rPr>
      </w:pPr>
    </w:p>
    <w:p w14:paraId="2C982675">
      <w:pPr>
        <w:keepNext/>
        <w:jc w:val="center"/>
        <w:rPr>
          <w:color w:val="auto"/>
          <w:sz w:val="20"/>
          <w:szCs w:val="20"/>
        </w:rPr>
      </w:pPr>
      <w:r>
        <w:rPr>
          <w:color w:val="auto"/>
          <w:sz w:val="20"/>
          <w:szCs w:val="20"/>
        </w:rPr>
        <w:drawing>
          <wp:inline distT="0" distB="0" distL="0" distR="0">
            <wp:extent cx="4218305" cy="3399790"/>
            <wp:effectExtent l="0" t="0" r="0" b="0"/>
            <wp:docPr id="21" name="图形 21"/>
            <wp:cNvGraphicFramePr/>
            <a:graphic xmlns:a="http://schemas.openxmlformats.org/drawingml/2006/main">
              <a:graphicData uri="http://schemas.openxmlformats.org/drawingml/2006/picture">
                <pic:pic xmlns:pic="http://schemas.openxmlformats.org/drawingml/2006/picture">
                  <pic:nvPicPr>
                    <pic:cNvPr id="21" name="图形 21"/>
                    <pic:cNvPicPr/>
                  </pic:nvPicPr>
                  <pic:blipFill>
                    <a:blip r:embed="rId35">
                      <a:extLst>
                        <a:ext uri="{96DAC541-7B7A-43D3-8B79-37D633B846F1}">
                          <asvg:svgBlip xmlns:asvg="http://schemas.microsoft.com/office/drawing/2016/SVG/main" r:embed="rId36"/>
                        </a:ext>
                      </a:extLst>
                    </a:blip>
                    <a:stretch>
                      <a:fillRect/>
                    </a:stretch>
                  </pic:blipFill>
                  <pic:spPr>
                    <a:xfrm>
                      <a:off x="0" y="0"/>
                      <a:ext cx="4220845" cy="3398520"/>
                    </a:xfrm>
                    <a:prstGeom prst="rect">
                      <a:avLst/>
                    </a:prstGeom>
                  </pic:spPr>
                </pic:pic>
              </a:graphicData>
            </a:graphic>
          </wp:inline>
        </w:drawing>
      </w:r>
    </w:p>
    <w:p w14:paraId="64081E0F">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20</w:t>
      </w:r>
      <w:r>
        <w:rPr>
          <w:b/>
          <w:color w:val="auto"/>
        </w:rPr>
        <w:fldChar w:fldCharType="end"/>
      </w:r>
      <w:r>
        <w:rPr>
          <w:b/>
          <w:color w:val="auto"/>
        </w:rPr>
        <w:t xml:space="preserve"> </w:t>
      </w:r>
      <w:r>
        <w:rPr>
          <w:color w:val="auto"/>
        </w:rPr>
        <w:t>Reduced radial distribution function analysis of Ni-BTA.</w:t>
      </w:r>
    </w:p>
    <w:p w14:paraId="26761133">
      <w:pPr>
        <w:keepNext/>
        <w:jc w:val="center"/>
        <w:rPr>
          <w:color w:val="auto"/>
          <w:sz w:val="20"/>
          <w:szCs w:val="20"/>
        </w:rPr>
      </w:pPr>
      <w:r>
        <w:rPr>
          <w:color w:val="auto"/>
          <w:sz w:val="20"/>
          <w:szCs w:val="20"/>
        </w:rPr>
        <w:drawing>
          <wp:inline distT="0" distB="0" distL="0" distR="0">
            <wp:extent cx="4734560" cy="3068320"/>
            <wp:effectExtent l="0" t="0" r="0" b="0"/>
            <wp:docPr id="45" name="图形 45"/>
            <wp:cNvGraphicFramePr/>
            <a:graphic xmlns:a="http://schemas.openxmlformats.org/drawingml/2006/main">
              <a:graphicData uri="http://schemas.openxmlformats.org/drawingml/2006/picture">
                <pic:pic xmlns:pic="http://schemas.openxmlformats.org/drawingml/2006/picture">
                  <pic:nvPicPr>
                    <pic:cNvPr id="45" name="图形 45"/>
                    <pic:cNvPicPr/>
                  </pic:nvPicPr>
                  <pic:blipFill>
                    <a:blip r:embed="rId37">
                      <a:extLst>
                        <a:ext uri="{96DAC541-7B7A-43D3-8B79-37D633B846F1}">
                          <asvg:svgBlip xmlns:asvg="http://schemas.microsoft.com/office/drawing/2016/SVG/main" r:embed="rId38"/>
                        </a:ext>
                      </a:extLst>
                    </a:blip>
                    <a:srcRect l="5590" r="4647"/>
                    <a:stretch>
                      <a:fillRect/>
                    </a:stretch>
                  </pic:blipFill>
                  <pic:spPr>
                    <a:xfrm>
                      <a:off x="0" y="0"/>
                      <a:ext cx="4733925" cy="3064510"/>
                    </a:xfrm>
                    <a:prstGeom prst="rect">
                      <a:avLst/>
                    </a:prstGeom>
                  </pic:spPr>
                </pic:pic>
              </a:graphicData>
            </a:graphic>
          </wp:inline>
        </w:drawing>
      </w:r>
    </w:p>
    <w:p w14:paraId="1A7E8CA6">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21</w:t>
      </w:r>
      <w:r>
        <w:rPr>
          <w:b/>
          <w:color w:val="auto"/>
        </w:rPr>
        <w:fldChar w:fldCharType="end"/>
      </w:r>
      <w:r>
        <w:rPr>
          <w:b/>
          <w:color w:val="auto"/>
        </w:rPr>
        <w:t xml:space="preserve"> </w:t>
      </w:r>
      <w:r>
        <w:rPr>
          <w:color w:val="auto"/>
        </w:rPr>
        <w:t>Synchrotron wavelet transform spectra of different nickel-based materials. (a) Ni foil, (b) NiO powder, (c) Ni₂O₃ powder.</w:t>
      </w:r>
    </w:p>
    <w:p w14:paraId="03E67BD9">
      <w:pPr>
        <w:keepNext/>
        <w:jc w:val="center"/>
        <w:rPr>
          <w:color w:val="auto"/>
          <w:sz w:val="20"/>
          <w:szCs w:val="20"/>
        </w:rPr>
      </w:pPr>
      <w:r>
        <w:rPr>
          <w:color w:val="auto"/>
          <w:sz w:val="20"/>
          <w:szCs w:val="20"/>
        </w:rPr>
        <w:drawing>
          <wp:inline distT="0" distB="0" distL="0" distR="0">
            <wp:extent cx="4781550" cy="4000500"/>
            <wp:effectExtent l="0" t="0" r="0" b="0"/>
            <wp:docPr id="4"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形 4"/>
                    <pic:cNvPicPr>
                      <a:picLocks noChangeAspect="1"/>
                    </pic:cNvPicPr>
                  </pic:nvPicPr>
                  <pic:blipFill>
                    <a:blip r:embed="rId39">
                      <a:extLst>
                        <a:ext uri="{96DAC541-7B7A-43D3-8B79-37D633B846F1}">
                          <asvg:svgBlip xmlns:asvg="http://schemas.microsoft.com/office/drawing/2016/SVG/main" r:embed="rId40"/>
                        </a:ext>
                      </a:extLst>
                    </a:blip>
                    <a:stretch>
                      <a:fillRect/>
                    </a:stretch>
                  </pic:blipFill>
                  <pic:spPr>
                    <a:xfrm>
                      <a:off x="0" y="0"/>
                      <a:ext cx="4781550" cy="4000500"/>
                    </a:xfrm>
                    <a:prstGeom prst="rect">
                      <a:avLst/>
                    </a:prstGeom>
                  </pic:spPr>
                </pic:pic>
              </a:graphicData>
            </a:graphic>
          </wp:inline>
        </w:drawing>
      </w:r>
    </w:p>
    <w:p w14:paraId="3C29E882">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22</w:t>
      </w:r>
      <w:r>
        <w:rPr>
          <w:b/>
          <w:color w:val="auto"/>
        </w:rPr>
        <w:fldChar w:fldCharType="end"/>
      </w:r>
      <w:r>
        <w:rPr>
          <w:color w:val="auto"/>
        </w:rPr>
        <w:t xml:space="preserve"> </w:t>
      </w:r>
      <w:r>
        <w:rPr>
          <w:b/>
          <w:bCs w:val="0"/>
          <w:color w:val="auto"/>
        </w:rPr>
        <w:t>XPS spectral analysis of Ni-BTA.</w:t>
      </w:r>
      <w:r>
        <w:rPr>
          <w:color w:val="auto"/>
        </w:rPr>
        <w:t xml:space="preserve"> (a) Full spectrum of Ni-BTA, (b) High-resolution and fitted Ni 2p spectrum, (c) High-resolution and fitted C 1s spectrum, (d) High-resolution and fitted N 1s spectrum.</w:t>
      </w:r>
    </w:p>
    <w:p w14:paraId="793260CD">
      <w:pPr>
        <w:rPr>
          <w:color w:val="auto"/>
        </w:rPr>
      </w:pPr>
    </w:p>
    <w:p w14:paraId="71612F9C">
      <w:pPr>
        <w:rPr>
          <w:color w:val="auto"/>
        </w:rPr>
      </w:pPr>
    </w:p>
    <w:p w14:paraId="2EC9914E">
      <w:pPr>
        <w:keepNext/>
        <w:jc w:val="center"/>
        <w:rPr>
          <w:color w:val="auto"/>
          <w:sz w:val="20"/>
          <w:szCs w:val="20"/>
        </w:rPr>
      </w:pPr>
      <w:r>
        <w:rPr>
          <w:color w:val="auto"/>
          <w:sz w:val="20"/>
          <w:szCs w:val="20"/>
        </w:rPr>
        <w:drawing>
          <wp:inline distT="0" distB="0" distL="0" distR="0">
            <wp:extent cx="4406265" cy="25050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4420953" cy="2513344"/>
                    </a:xfrm>
                    <a:prstGeom prst="rect">
                      <a:avLst/>
                    </a:prstGeom>
                    <a:noFill/>
                    <a:ln>
                      <a:noFill/>
                    </a:ln>
                  </pic:spPr>
                </pic:pic>
              </a:graphicData>
            </a:graphic>
          </wp:inline>
        </w:drawing>
      </w:r>
    </w:p>
    <w:p w14:paraId="05D81B28">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23</w:t>
      </w:r>
      <w:r>
        <w:rPr>
          <w:b/>
          <w:color w:val="auto"/>
        </w:rPr>
        <w:fldChar w:fldCharType="end"/>
      </w:r>
      <w:r>
        <w:rPr>
          <w:color w:val="auto"/>
        </w:rPr>
        <w:t xml:space="preserve"> Electron energy loss spectrum (EELS) of Ni-BTA.</w:t>
      </w:r>
    </w:p>
    <w:p w14:paraId="4E967B63">
      <w:pPr>
        <w:keepNext/>
        <w:jc w:val="center"/>
        <w:rPr>
          <w:color w:val="auto"/>
          <w:sz w:val="20"/>
          <w:szCs w:val="20"/>
        </w:rPr>
      </w:pPr>
      <w:r>
        <w:rPr>
          <w:color w:val="auto"/>
          <w:sz w:val="20"/>
          <w:szCs w:val="20"/>
        </w:rPr>
        <w:drawing>
          <wp:inline distT="0" distB="0" distL="0" distR="0">
            <wp:extent cx="3837305" cy="3202940"/>
            <wp:effectExtent l="0" t="0" r="0" b="0"/>
            <wp:docPr id="25" name="图形 25"/>
            <wp:cNvGraphicFramePr/>
            <a:graphic xmlns:a="http://schemas.openxmlformats.org/drawingml/2006/main">
              <a:graphicData uri="http://schemas.openxmlformats.org/drawingml/2006/picture">
                <pic:pic xmlns:pic="http://schemas.openxmlformats.org/drawingml/2006/picture">
                  <pic:nvPicPr>
                    <pic:cNvPr id="25" name="图形 25"/>
                    <pic:cNvPicPr/>
                  </pic:nvPicPr>
                  <pic:blipFill>
                    <a:blip r:embed="rId42">
                      <a:extLst>
                        <a:ext uri="{96DAC541-7B7A-43D3-8B79-37D633B846F1}">
                          <asvg:svgBlip xmlns:asvg="http://schemas.microsoft.com/office/drawing/2016/SVG/main" r:embed="rId43"/>
                        </a:ext>
                      </a:extLst>
                    </a:blip>
                    <a:stretch>
                      <a:fillRect/>
                    </a:stretch>
                  </pic:blipFill>
                  <pic:spPr>
                    <a:xfrm>
                      <a:off x="0" y="0"/>
                      <a:ext cx="3837305" cy="3200400"/>
                    </a:xfrm>
                    <a:prstGeom prst="rect">
                      <a:avLst/>
                    </a:prstGeom>
                  </pic:spPr>
                </pic:pic>
              </a:graphicData>
            </a:graphic>
          </wp:inline>
        </w:drawing>
      </w:r>
    </w:p>
    <w:p w14:paraId="7E086518">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24</w:t>
      </w:r>
      <w:r>
        <w:rPr>
          <w:b/>
          <w:color w:val="auto"/>
        </w:rPr>
        <w:fldChar w:fldCharType="end"/>
      </w:r>
      <w:r>
        <w:rPr>
          <w:b/>
          <w:color w:val="auto"/>
        </w:rPr>
        <w:t xml:space="preserve"> </w:t>
      </w:r>
      <w:r>
        <w:rPr>
          <w:color w:val="auto"/>
        </w:rPr>
        <w:t>Cyclic voltammetry (CV) curves of Ni-BTA at a scan rate of 0.2 mV/s.</w:t>
      </w:r>
    </w:p>
    <w:p w14:paraId="231B4BA6">
      <w:pPr>
        <w:keepNext/>
        <w:jc w:val="center"/>
        <w:rPr>
          <w:color w:val="auto"/>
          <w:sz w:val="20"/>
          <w:szCs w:val="20"/>
        </w:rPr>
      </w:pPr>
      <w:r>
        <w:rPr>
          <w:color w:val="auto"/>
          <w:sz w:val="20"/>
          <w:szCs w:val="20"/>
        </w:rPr>
        <w:drawing>
          <wp:inline distT="0" distB="0" distL="0" distR="0">
            <wp:extent cx="5278755" cy="2199005"/>
            <wp:effectExtent l="0" t="0" r="0" b="0"/>
            <wp:docPr id="26" name="图形 26"/>
            <wp:cNvGraphicFramePr/>
            <a:graphic xmlns:a="http://schemas.openxmlformats.org/drawingml/2006/main">
              <a:graphicData uri="http://schemas.openxmlformats.org/drawingml/2006/picture">
                <pic:pic xmlns:pic="http://schemas.openxmlformats.org/drawingml/2006/picture">
                  <pic:nvPicPr>
                    <pic:cNvPr id="26" name="图形 26"/>
                    <pic:cNvPicPr/>
                  </pic:nvPicPr>
                  <pic:blipFill>
                    <a:blip r:embed="rId44">
                      <a:extLst>
                        <a:ext uri="{96DAC541-7B7A-43D3-8B79-37D633B846F1}">
                          <asvg:svgBlip xmlns:asvg="http://schemas.microsoft.com/office/drawing/2016/SVG/main" r:embed="rId45"/>
                        </a:ext>
                      </a:extLst>
                    </a:blip>
                    <a:stretch>
                      <a:fillRect/>
                    </a:stretch>
                  </pic:blipFill>
                  <pic:spPr>
                    <a:xfrm>
                      <a:off x="0" y="0"/>
                      <a:ext cx="5274310" cy="2204085"/>
                    </a:xfrm>
                    <a:prstGeom prst="rect">
                      <a:avLst/>
                    </a:prstGeom>
                  </pic:spPr>
                </pic:pic>
              </a:graphicData>
            </a:graphic>
          </wp:inline>
        </w:drawing>
      </w:r>
    </w:p>
    <w:p w14:paraId="6090E2F9">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25</w:t>
      </w:r>
      <w:r>
        <w:rPr>
          <w:b/>
          <w:color w:val="auto"/>
        </w:rPr>
        <w:fldChar w:fldCharType="end"/>
      </w:r>
      <w:r>
        <w:rPr>
          <w:color w:val="auto"/>
        </w:rPr>
        <w:t xml:space="preserve"> Cyclic voltammetry (CV) curves of TM-BTA at a scan rate of 0.2 mV/s.</w:t>
      </w:r>
    </w:p>
    <w:p w14:paraId="6931D194">
      <w:pPr>
        <w:pStyle w:val="2"/>
        <w:rPr>
          <w:color w:val="auto"/>
        </w:rPr>
      </w:pPr>
      <w:r>
        <w:rPr>
          <w:color w:val="auto"/>
        </w:rPr>
        <w:t xml:space="preserve"> (a) Co-BTA, (b) Mn-BTA.</w:t>
      </w:r>
    </w:p>
    <w:p w14:paraId="37421666">
      <w:pPr>
        <w:pStyle w:val="2"/>
        <w:rPr>
          <w:color w:val="auto"/>
        </w:rPr>
      </w:pPr>
    </w:p>
    <w:p w14:paraId="7D6215A7">
      <w:pPr>
        <w:keepNext/>
        <w:jc w:val="center"/>
        <w:rPr>
          <w:color w:val="auto"/>
          <w:sz w:val="20"/>
          <w:szCs w:val="20"/>
        </w:rPr>
      </w:pPr>
      <w:r>
        <w:rPr>
          <w:color w:val="auto"/>
          <w:sz w:val="20"/>
          <w:szCs w:val="20"/>
        </w:rPr>
        <w:drawing>
          <wp:inline distT="0" distB="0" distL="0" distR="0">
            <wp:extent cx="5104765" cy="2019300"/>
            <wp:effectExtent l="0" t="0" r="635" b="0"/>
            <wp:docPr id="17" name="图形 17" descr="资源 2"/>
            <wp:cNvGraphicFramePr/>
            <a:graphic xmlns:a="http://schemas.openxmlformats.org/drawingml/2006/main">
              <a:graphicData uri="http://schemas.openxmlformats.org/drawingml/2006/picture">
                <pic:pic xmlns:pic="http://schemas.openxmlformats.org/drawingml/2006/picture">
                  <pic:nvPicPr>
                    <pic:cNvPr id="17" name="图形 17" descr="资源 2"/>
                    <pic:cNvPicPr/>
                  </pic:nvPicPr>
                  <pic:blipFill>
                    <a:blip r:embed="rId46">
                      <a:extLst>
                        <a:ext uri="{96DAC541-7B7A-43D3-8B79-37D633B846F1}">
                          <asvg:svgBlip xmlns:asvg="http://schemas.microsoft.com/office/drawing/2016/SVG/main" r:embed="rId47"/>
                        </a:ext>
                      </a:extLst>
                    </a:blip>
                    <a:stretch>
                      <a:fillRect/>
                    </a:stretch>
                  </pic:blipFill>
                  <pic:spPr>
                    <a:xfrm>
                      <a:off x="0" y="0"/>
                      <a:ext cx="5105400" cy="2019300"/>
                    </a:xfrm>
                    <a:prstGeom prst="rect">
                      <a:avLst/>
                    </a:prstGeom>
                  </pic:spPr>
                </pic:pic>
              </a:graphicData>
            </a:graphic>
          </wp:inline>
        </w:drawing>
      </w:r>
    </w:p>
    <w:p w14:paraId="24346468">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26</w:t>
      </w:r>
      <w:r>
        <w:rPr>
          <w:b/>
          <w:color w:val="auto"/>
        </w:rPr>
        <w:fldChar w:fldCharType="end"/>
      </w:r>
      <w:r>
        <w:rPr>
          <w:b/>
          <w:color w:val="auto"/>
        </w:rPr>
        <w:t xml:space="preserve"> Characteristic charge-discharge curves of Co-BTA and Mn-BTA at 100 mA/g.</w:t>
      </w:r>
    </w:p>
    <w:p w14:paraId="36E59643">
      <w:pPr>
        <w:pStyle w:val="2"/>
        <w:rPr>
          <w:color w:val="auto"/>
        </w:rPr>
      </w:pPr>
      <w:r>
        <w:rPr>
          <w:color w:val="auto"/>
        </w:rPr>
        <w:t xml:space="preserve"> (a) Co-BTA, (b) Mn-BTA.</w:t>
      </w:r>
    </w:p>
    <w:p w14:paraId="20C26614">
      <w:pPr>
        <w:jc w:val="both"/>
        <w:rPr>
          <w:color w:val="auto"/>
          <w:sz w:val="20"/>
          <w:szCs w:val="20"/>
        </w:rPr>
      </w:pPr>
    </w:p>
    <w:p w14:paraId="5CD2C9A8">
      <w:pPr>
        <w:jc w:val="both"/>
        <w:rPr>
          <w:color w:val="auto"/>
          <w:sz w:val="20"/>
          <w:szCs w:val="20"/>
        </w:rPr>
      </w:pPr>
    </w:p>
    <w:p w14:paraId="1D8F1B4F">
      <w:pPr>
        <w:keepNext/>
        <w:jc w:val="center"/>
        <w:rPr>
          <w:color w:val="auto"/>
          <w:sz w:val="20"/>
          <w:szCs w:val="20"/>
        </w:rPr>
      </w:pPr>
      <w:r>
        <w:rPr>
          <w:color w:val="auto"/>
          <w:sz w:val="20"/>
          <w:szCs w:val="20"/>
        </w:rPr>
        <w:drawing>
          <wp:inline distT="0" distB="0" distL="0" distR="0">
            <wp:extent cx="5278755" cy="1963420"/>
            <wp:effectExtent l="0" t="0" r="0" b="0"/>
            <wp:docPr id="16" name="图形 16"/>
            <wp:cNvGraphicFramePr/>
            <a:graphic xmlns:a="http://schemas.openxmlformats.org/drawingml/2006/main">
              <a:graphicData uri="http://schemas.openxmlformats.org/drawingml/2006/picture">
                <pic:pic xmlns:pic="http://schemas.openxmlformats.org/drawingml/2006/picture">
                  <pic:nvPicPr>
                    <pic:cNvPr id="16" name="图形 16"/>
                    <pic:cNvPicPr/>
                  </pic:nvPicPr>
                  <pic:blipFill>
                    <a:blip r:embed="rId48">
                      <a:extLst>
                        <a:ext uri="{96DAC541-7B7A-43D3-8B79-37D633B846F1}">
                          <asvg:svgBlip xmlns:asvg="http://schemas.microsoft.com/office/drawing/2016/SVG/main" r:embed="rId49"/>
                        </a:ext>
                      </a:extLst>
                    </a:blip>
                    <a:stretch>
                      <a:fillRect/>
                    </a:stretch>
                  </pic:blipFill>
                  <pic:spPr>
                    <a:xfrm>
                      <a:off x="0" y="0"/>
                      <a:ext cx="5274310" cy="1967230"/>
                    </a:xfrm>
                    <a:prstGeom prst="rect">
                      <a:avLst/>
                    </a:prstGeom>
                  </pic:spPr>
                </pic:pic>
              </a:graphicData>
            </a:graphic>
          </wp:inline>
        </w:drawing>
      </w:r>
    </w:p>
    <w:p w14:paraId="1617610C">
      <w:pPr>
        <w:pStyle w:val="2"/>
        <w:rPr>
          <w:color w:val="auto"/>
        </w:rPr>
      </w:pPr>
      <w:r>
        <w:rPr>
          <w:b/>
          <w:bCs w:val="0"/>
          <w:color w:val="auto"/>
        </w:rPr>
        <w:t>Figure S</w:t>
      </w:r>
      <w:r>
        <w:rPr>
          <w:b/>
          <w:bCs w:val="0"/>
          <w:color w:val="auto"/>
        </w:rPr>
        <w:fldChar w:fldCharType="begin"/>
      </w:r>
      <w:r>
        <w:rPr>
          <w:b/>
          <w:bCs w:val="0"/>
          <w:color w:val="auto"/>
        </w:rPr>
        <w:instrText xml:space="preserve"> SEQ Figure_S \* ARABIC </w:instrText>
      </w:r>
      <w:r>
        <w:rPr>
          <w:b/>
          <w:bCs w:val="0"/>
          <w:color w:val="auto"/>
        </w:rPr>
        <w:fldChar w:fldCharType="separate"/>
      </w:r>
      <w:r>
        <w:rPr>
          <w:b/>
          <w:bCs w:val="0"/>
          <w:color w:val="auto"/>
        </w:rPr>
        <w:t>27</w:t>
      </w:r>
      <w:r>
        <w:rPr>
          <w:b/>
          <w:bCs w:val="0"/>
          <w:color w:val="auto"/>
        </w:rPr>
        <w:fldChar w:fldCharType="end"/>
      </w:r>
      <w:r>
        <w:rPr>
          <w:b/>
          <w:bCs w:val="0"/>
          <w:color w:val="auto"/>
        </w:rPr>
        <w:t xml:space="preserve"> Electrochemical performance of Super P. </w:t>
      </w:r>
      <w:r>
        <w:rPr>
          <w:color w:val="auto"/>
        </w:rPr>
        <w:t>(a) Reversible specific capacity over 200 cycles at 100 mA/g. (b) Reversible specific capacity over 200 cycles at 1000 mA/g. (Considering the conductive additive comprises only 20% of the total, it contributes an additional capacity of approximately 48 mAh/g at 100 mA/g and 30 mAh/g at 1000 mA/g.)</w:t>
      </w:r>
    </w:p>
    <w:p w14:paraId="4623923E">
      <w:pPr>
        <w:rPr>
          <w:color w:val="auto"/>
        </w:rPr>
      </w:pPr>
    </w:p>
    <w:p w14:paraId="7DFBFA0A">
      <w:pPr>
        <w:rPr>
          <w:color w:val="auto"/>
        </w:rPr>
      </w:pPr>
    </w:p>
    <w:p w14:paraId="3EA46DB1">
      <w:pPr>
        <w:jc w:val="center"/>
        <w:rPr>
          <w:rFonts w:eastAsiaTheme="minorEastAsia"/>
          <w:color w:val="auto"/>
          <w:sz w:val="20"/>
          <w:szCs w:val="20"/>
          <w:lang w:val="en-US" w:eastAsia="zh-CN"/>
        </w:rPr>
      </w:pPr>
      <w:r>
        <w:rPr>
          <w:color w:val="auto"/>
          <w:sz w:val="20"/>
          <w:szCs w:val="20"/>
        </w:rPr>
        <w:object>
          <v:shape id="_x0000_i1025" o:spt="75" type="#_x0000_t75" style="height:187.5pt;width:267.35pt;" o:ole="t" filled="f" o:preferrelative="t" stroked="f" coordsize="21600,21600">
            <v:path/>
            <v:fill on="f" focussize="0,0"/>
            <v:stroke on="f" joinstyle="miter"/>
            <v:imagedata r:id="rId51" o:title=""/>
            <o:lock v:ext="edit" aspectratio="t"/>
            <w10:wrap type="none"/>
            <w10:anchorlock/>
          </v:shape>
          <o:OLEObject Type="Embed" ProgID="Origin50.Graph" ShapeID="_x0000_i1025" DrawAspect="Content" ObjectID="_1468075725" r:id="rId50">
            <o:LockedField>false</o:LockedField>
          </o:OLEObject>
        </w:object>
      </w:r>
    </w:p>
    <w:p w14:paraId="1E0B87DD">
      <w:pPr>
        <w:pStyle w:val="2"/>
        <w:rPr>
          <w:rFonts w:eastAsiaTheme="minorEastAsia"/>
          <w:color w:val="auto"/>
          <w:lang w:val="en-US" w:eastAsia="zh-CN"/>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28</w:t>
      </w:r>
      <w:r>
        <w:rPr>
          <w:b/>
          <w:color w:val="auto"/>
        </w:rPr>
        <w:fldChar w:fldCharType="end"/>
      </w:r>
      <w:r>
        <w:rPr>
          <w:b/>
          <w:color w:val="auto"/>
        </w:rPr>
        <w:t xml:space="preserve"> </w:t>
      </w:r>
      <w:r>
        <w:rPr>
          <w:color w:val="auto"/>
          <w:lang w:val="en-US" w:eastAsia="zh-CN"/>
        </w:rPr>
        <w:t> Ragone plot comparing the projected performance of the Ni-BTA based K-ion full cell with various established energy storage technologies. </w:t>
      </w:r>
    </w:p>
    <w:p w14:paraId="05026FF0">
      <w:pPr>
        <w:rPr>
          <w:rFonts w:eastAsiaTheme="minorEastAsia"/>
          <w:bCs/>
          <w:color w:val="auto"/>
          <w:sz w:val="20"/>
          <w:szCs w:val="20"/>
          <w:lang w:val="en-US" w:eastAsia="zh-CN"/>
        </w:rPr>
      </w:pPr>
    </w:p>
    <w:p w14:paraId="1126824D">
      <w:pPr>
        <w:rPr>
          <w:rFonts w:eastAsiaTheme="minorEastAsia"/>
          <w:color w:val="auto"/>
          <w:sz w:val="20"/>
          <w:szCs w:val="20"/>
          <w:lang w:val="en-US" w:eastAsia="zh-CN"/>
        </w:rPr>
      </w:pPr>
    </w:p>
    <w:p w14:paraId="70D6D570">
      <w:pPr>
        <w:rPr>
          <w:rFonts w:eastAsiaTheme="minorEastAsia"/>
          <w:color w:val="auto"/>
          <w:sz w:val="20"/>
          <w:szCs w:val="20"/>
          <w:lang w:val="en-US" w:eastAsia="zh-CN"/>
        </w:rPr>
      </w:pPr>
    </w:p>
    <w:p w14:paraId="13D27FE7">
      <w:pPr>
        <w:rPr>
          <w:rFonts w:eastAsiaTheme="minorEastAsia"/>
          <w:color w:val="auto"/>
          <w:sz w:val="20"/>
          <w:szCs w:val="20"/>
          <w:lang w:val="en-US" w:eastAsia="zh-CN"/>
        </w:rPr>
      </w:pPr>
      <w:r>
        <w:rPr>
          <w:color w:val="auto"/>
          <w:sz w:val="20"/>
          <w:szCs w:val="20"/>
        </w:rPr>
        <w:drawing>
          <wp:inline distT="0" distB="0" distL="0" distR="0">
            <wp:extent cx="5274310" cy="3698875"/>
            <wp:effectExtent l="0" t="0" r="2540" b="0"/>
            <wp:docPr id="10" name="图形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形 10"/>
                    <pic:cNvPicPr>
                      <a:picLocks noChangeAspect="1"/>
                    </pic:cNvPicPr>
                  </pic:nvPicPr>
                  <pic:blipFill>
                    <a:blip r:embed="rId52">
                      <a:extLst>
                        <a:ext uri="{96DAC541-7B7A-43D3-8B79-37D633B846F1}">
                          <asvg:svgBlip xmlns:asvg="http://schemas.microsoft.com/office/drawing/2016/SVG/main" r:embed="rId53"/>
                        </a:ext>
                      </a:extLst>
                    </a:blip>
                    <a:stretch>
                      <a:fillRect/>
                    </a:stretch>
                  </pic:blipFill>
                  <pic:spPr>
                    <a:xfrm>
                      <a:off x="0" y="0"/>
                      <a:ext cx="5274310" cy="3698875"/>
                    </a:xfrm>
                    <a:prstGeom prst="rect">
                      <a:avLst/>
                    </a:prstGeom>
                  </pic:spPr>
                </pic:pic>
              </a:graphicData>
            </a:graphic>
          </wp:inline>
        </w:drawing>
      </w:r>
    </w:p>
    <w:p w14:paraId="43304B1F">
      <w:pPr>
        <w:pStyle w:val="2"/>
        <w:rPr>
          <w:rFonts w:eastAsiaTheme="minorEastAsia"/>
          <w:color w:val="auto"/>
          <w:lang w:val="en-US" w:eastAsia="zh-CN"/>
        </w:rPr>
      </w:pPr>
      <w:r>
        <w:rPr>
          <w:b/>
          <w:bCs w:val="0"/>
          <w:color w:val="auto"/>
        </w:rPr>
        <w:t>Figure S</w:t>
      </w:r>
      <w:r>
        <w:rPr>
          <w:b/>
          <w:bCs w:val="0"/>
          <w:color w:val="auto"/>
        </w:rPr>
        <w:fldChar w:fldCharType="begin"/>
      </w:r>
      <w:r>
        <w:rPr>
          <w:b/>
          <w:bCs w:val="0"/>
          <w:color w:val="auto"/>
        </w:rPr>
        <w:instrText xml:space="preserve"> SEQ Figure_S \* ARABIC </w:instrText>
      </w:r>
      <w:r>
        <w:rPr>
          <w:b/>
          <w:bCs w:val="0"/>
          <w:color w:val="auto"/>
        </w:rPr>
        <w:fldChar w:fldCharType="separate"/>
      </w:r>
      <w:r>
        <w:rPr>
          <w:b/>
          <w:bCs w:val="0"/>
          <w:color w:val="auto"/>
        </w:rPr>
        <w:t>29</w:t>
      </w:r>
      <w:r>
        <w:rPr>
          <w:b/>
          <w:bCs w:val="0"/>
          <w:color w:val="auto"/>
        </w:rPr>
        <w:fldChar w:fldCharType="end"/>
      </w:r>
      <w:r>
        <w:rPr>
          <w:b/>
          <w:bCs w:val="0"/>
          <w:color w:val="auto"/>
        </w:rPr>
        <w:t xml:space="preserve"> K⁺ Diffusion Kinetics Analysis via GITT. </w:t>
      </w:r>
      <w:r>
        <w:rPr>
          <w:color w:val="auto"/>
        </w:rPr>
        <w:t>(a-c) GITT potential profiles of (a) Ni-BTA, (b) Co-BTA, and (c) Mn-BTA electrodes during a charge-discharge cycle. (d, f) Calculated K⁺ diffusion coefficients (logD) as a function of potential for the three electrodes during (d) discharge and (f) charge. (e, g) Comparison of the average log(D</w:t>
      </w:r>
      <w:r>
        <w:rPr>
          <w:color w:val="auto"/>
          <w:vertAlign w:val="subscript"/>
        </w:rPr>
        <w:t>K⁺</w:t>
      </w:r>
      <w:r>
        <w:rPr>
          <w:color w:val="auto"/>
        </w:rPr>
        <w:t>) values during (e) discharge and (g) charge, highlighting the superior ionic transport kinetics of Ni-BTA.</w:t>
      </w:r>
    </w:p>
    <w:p w14:paraId="39C2BF38">
      <w:pPr>
        <w:rPr>
          <w:rFonts w:eastAsiaTheme="minorEastAsia"/>
          <w:color w:val="auto"/>
          <w:sz w:val="20"/>
          <w:szCs w:val="20"/>
          <w:lang w:val="en-US" w:eastAsia="zh-CN"/>
        </w:rPr>
      </w:pPr>
    </w:p>
    <w:p w14:paraId="3915CED4">
      <w:pPr>
        <w:rPr>
          <w:rFonts w:eastAsiaTheme="minorEastAsia"/>
          <w:color w:val="auto"/>
          <w:sz w:val="20"/>
          <w:szCs w:val="20"/>
          <w:lang w:val="en-US" w:eastAsia="zh-CN"/>
        </w:rPr>
      </w:pPr>
      <w:r>
        <w:rPr>
          <w:color w:val="auto"/>
          <w:sz w:val="20"/>
          <w:szCs w:val="20"/>
        </w:rPr>
        <w:drawing>
          <wp:inline distT="0" distB="0" distL="0" distR="0">
            <wp:extent cx="5274310" cy="2995295"/>
            <wp:effectExtent l="0" t="0" r="2540" b="0"/>
            <wp:docPr id="11" name="图形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a:picLocks noChangeAspect="1"/>
                    </pic:cNvPicPr>
                  </pic:nvPicPr>
                  <pic:blipFill>
                    <a:blip r:embed="rId54">
                      <a:extLst>
                        <a:ext uri="{96DAC541-7B7A-43D3-8B79-37D633B846F1}">
                          <asvg:svgBlip xmlns:asvg="http://schemas.microsoft.com/office/drawing/2016/SVG/main" r:embed="rId55"/>
                        </a:ext>
                      </a:extLst>
                    </a:blip>
                    <a:stretch>
                      <a:fillRect/>
                    </a:stretch>
                  </pic:blipFill>
                  <pic:spPr>
                    <a:xfrm>
                      <a:off x="0" y="0"/>
                      <a:ext cx="5274310" cy="2995295"/>
                    </a:xfrm>
                    <a:prstGeom prst="rect">
                      <a:avLst/>
                    </a:prstGeom>
                  </pic:spPr>
                </pic:pic>
              </a:graphicData>
            </a:graphic>
          </wp:inline>
        </w:drawing>
      </w:r>
    </w:p>
    <w:p w14:paraId="49CEF708">
      <w:pPr>
        <w:pStyle w:val="2"/>
        <w:rPr>
          <w:color w:val="auto"/>
        </w:rPr>
      </w:pPr>
      <w:r>
        <w:rPr>
          <w:b/>
          <w:bCs w:val="0"/>
          <w:color w:val="auto"/>
        </w:rPr>
        <w:t>Figure S</w:t>
      </w:r>
      <w:r>
        <w:rPr>
          <w:b/>
          <w:bCs w:val="0"/>
          <w:color w:val="auto"/>
        </w:rPr>
        <w:fldChar w:fldCharType="begin"/>
      </w:r>
      <w:r>
        <w:rPr>
          <w:b/>
          <w:bCs w:val="0"/>
          <w:color w:val="auto"/>
        </w:rPr>
        <w:instrText xml:space="preserve"> SEQ Figure_S \* ARABIC </w:instrText>
      </w:r>
      <w:r>
        <w:rPr>
          <w:b/>
          <w:bCs w:val="0"/>
          <w:color w:val="auto"/>
        </w:rPr>
        <w:fldChar w:fldCharType="separate"/>
      </w:r>
      <w:r>
        <w:rPr>
          <w:b/>
          <w:bCs w:val="0"/>
          <w:color w:val="auto"/>
        </w:rPr>
        <w:t>30</w:t>
      </w:r>
      <w:r>
        <w:rPr>
          <w:b/>
          <w:bCs w:val="0"/>
          <w:color w:val="auto"/>
        </w:rPr>
        <w:fldChar w:fldCharType="end"/>
      </w:r>
      <w:r>
        <w:rPr>
          <w:b/>
          <w:bCs w:val="0"/>
          <w:color w:val="auto"/>
        </w:rPr>
        <w:t xml:space="preserve"> Electrochemical Impedance Spectroscopy (EIS) analysis of Ni Nyquist plots were collected after 5 cycles at various states of charge and discharge.</w:t>
      </w:r>
      <w:r>
        <w:rPr>
          <w:color w:val="auto"/>
        </w:rPr>
        <w:t xml:space="preserve"> (a) discharged to 3.0V of Ni-BTA, Co-BTA, and Mn-BTA electrodes. (b) discharged to 1.5 V, (c) discharged to 0.3 V, (d) charged to 3.0 V, (e) charged to 1.5 V, and charged to 0.3 V.</w:t>
      </w:r>
    </w:p>
    <w:p w14:paraId="3244DE48">
      <w:pPr>
        <w:rPr>
          <w:rFonts w:eastAsiaTheme="minorEastAsia"/>
          <w:color w:val="auto"/>
          <w:sz w:val="20"/>
          <w:szCs w:val="20"/>
          <w:lang w:val="en-US" w:eastAsia="zh-CN"/>
        </w:rPr>
      </w:pPr>
    </w:p>
    <w:p w14:paraId="19F2B771">
      <w:pPr>
        <w:keepNext/>
        <w:jc w:val="center"/>
        <w:rPr>
          <w:color w:val="auto"/>
          <w:sz w:val="20"/>
          <w:szCs w:val="20"/>
        </w:rPr>
      </w:pPr>
      <w:r>
        <w:rPr>
          <w:color w:val="auto"/>
          <w:sz w:val="20"/>
          <w:szCs w:val="20"/>
        </w:rPr>
        <w:drawing>
          <wp:inline distT="0" distB="0" distL="0" distR="0">
            <wp:extent cx="3742055" cy="2788285"/>
            <wp:effectExtent l="0" t="0" r="0" b="0"/>
            <wp:docPr id="15" name="图形 15"/>
            <wp:cNvGraphicFramePr/>
            <a:graphic xmlns:a="http://schemas.openxmlformats.org/drawingml/2006/main">
              <a:graphicData uri="http://schemas.openxmlformats.org/drawingml/2006/picture">
                <pic:pic xmlns:pic="http://schemas.openxmlformats.org/drawingml/2006/picture">
                  <pic:nvPicPr>
                    <pic:cNvPr id="15" name="图形 15"/>
                    <pic:cNvPicPr/>
                  </pic:nvPicPr>
                  <pic:blipFill>
                    <a:blip r:embed="rId56">
                      <a:extLst>
                        <a:ext uri="{96DAC541-7B7A-43D3-8B79-37D633B846F1}">
                          <asvg:svgBlip xmlns:asvg="http://schemas.microsoft.com/office/drawing/2016/SVG/main" r:embed="rId57"/>
                        </a:ext>
                      </a:extLst>
                    </a:blip>
                    <a:stretch>
                      <a:fillRect/>
                    </a:stretch>
                  </pic:blipFill>
                  <pic:spPr>
                    <a:xfrm>
                      <a:off x="0" y="0"/>
                      <a:ext cx="3744595" cy="2788920"/>
                    </a:xfrm>
                    <a:prstGeom prst="rect">
                      <a:avLst/>
                    </a:prstGeom>
                  </pic:spPr>
                </pic:pic>
              </a:graphicData>
            </a:graphic>
          </wp:inline>
        </w:drawing>
      </w:r>
    </w:p>
    <w:p w14:paraId="0F7438BB">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31</w:t>
      </w:r>
      <w:r>
        <w:rPr>
          <w:b/>
          <w:color w:val="auto"/>
        </w:rPr>
        <w:fldChar w:fldCharType="end"/>
      </w:r>
      <w:r>
        <w:rPr>
          <w:b/>
          <w:color w:val="auto"/>
        </w:rPr>
        <w:t xml:space="preserve"> </w:t>
      </w:r>
      <w:r>
        <w:rPr>
          <w:color w:val="auto"/>
        </w:rPr>
        <w:t>Ex-situ XRD spectra of Ni-BTA under different charging and discharging conditions, where D stands for Discharge and C stands for Charge.</w:t>
      </w:r>
    </w:p>
    <w:p w14:paraId="78B106C4">
      <w:pPr>
        <w:jc w:val="both"/>
        <w:rPr>
          <w:color w:val="auto"/>
          <w:sz w:val="20"/>
          <w:szCs w:val="20"/>
        </w:rPr>
      </w:pPr>
    </w:p>
    <w:p w14:paraId="3A5D8D2E">
      <w:pPr>
        <w:keepNext/>
        <w:jc w:val="center"/>
        <w:rPr>
          <w:color w:val="auto"/>
          <w:sz w:val="20"/>
          <w:szCs w:val="20"/>
        </w:rPr>
      </w:pPr>
      <w:r>
        <w:rPr>
          <w:color w:val="auto"/>
          <w:sz w:val="20"/>
          <w:szCs w:val="20"/>
        </w:rPr>
        <w:drawing>
          <wp:inline distT="0" distB="0" distL="0" distR="0">
            <wp:extent cx="5278755" cy="3954780"/>
            <wp:effectExtent l="0" t="0" r="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278755" cy="3954780"/>
                    </a:xfrm>
                    <a:prstGeom prst="rect">
                      <a:avLst/>
                    </a:prstGeom>
                    <a:noFill/>
                    <a:ln>
                      <a:noFill/>
                    </a:ln>
                  </pic:spPr>
                </pic:pic>
              </a:graphicData>
            </a:graphic>
          </wp:inline>
        </w:drawing>
      </w:r>
    </w:p>
    <w:p w14:paraId="31FE00D8">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32</w:t>
      </w:r>
      <w:r>
        <w:rPr>
          <w:b/>
          <w:color w:val="auto"/>
        </w:rPr>
        <w:fldChar w:fldCharType="end"/>
      </w:r>
      <w:r>
        <w:rPr>
          <w:b/>
          <w:color w:val="auto"/>
        </w:rPr>
        <w:t xml:space="preserve"> </w:t>
      </w:r>
      <w:r>
        <w:rPr>
          <w:color w:val="auto"/>
        </w:rPr>
        <w:t xml:space="preserve"> Molecular structural optimization characteristics at different potassium intercalation levels based on first-principles calculations</w:t>
      </w:r>
    </w:p>
    <w:p w14:paraId="78731DDB">
      <w:pPr>
        <w:keepNext/>
        <w:jc w:val="center"/>
        <w:rPr>
          <w:color w:val="auto"/>
          <w:sz w:val="20"/>
          <w:szCs w:val="20"/>
        </w:rPr>
      </w:pPr>
      <w:r>
        <w:rPr>
          <w:color w:val="auto"/>
          <w:sz w:val="20"/>
          <w:szCs w:val="20"/>
        </w:rPr>
        <w:drawing>
          <wp:inline distT="0" distB="0" distL="0" distR="0">
            <wp:extent cx="3410585" cy="2664460"/>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410585" cy="2664460"/>
                    </a:xfrm>
                    <a:prstGeom prst="rect">
                      <a:avLst/>
                    </a:prstGeom>
                    <a:noFill/>
                    <a:ln>
                      <a:noFill/>
                    </a:ln>
                  </pic:spPr>
                </pic:pic>
              </a:graphicData>
            </a:graphic>
          </wp:inline>
        </w:drawing>
      </w:r>
    </w:p>
    <w:p w14:paraId="734D4E05">
      <w:pPr>
        <w:pStyle w:val="2"/>
        <w:rPr>
          <w:b/>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33</w:t>
      </w:r>
      <w:r>
        <w:rPr>
          <w:b/>
          <w:color w:val="auto"/>
        </w:rPr>
        <w:fldChar w:fldCharType="end"/>
      </w:r>
      <w:r>
        <w:rPr>
          <w:b/>
          <w:color w:val="auto"/>
        </w:rPr>
        <w:t xml:space="preserve"> </w:t>
      </w:r>
      <w:r>
        <w:rPr>
          <w:color w:val="auto"/>
        </w:rPr>
        <w:t>Ex situ EPR analysis of Ni-BTA. (In the figure, "D" denotes EPR measurements taken after discharging to the specified voltage, and "C" denotes EPR measurements taken after charging to the specified voltage.)</w:t>
      </w:r>
    </w:p>
    <w:p w14:paraId="77B71292">
      <w:pPr>
        <w:jc w:val="both"/>
        <w:rPr>
          <w:color w:val="auto"/>
          <w:sz w:val="20"/>
          <w:szCs w:val="20"/>
        </w:rPr>
      </w:pPr>
    </w:p>
    <w:p w14:paraId="45505583">
      <w:pPr>
        <w:keepNext/>
        <w:jc w:val="center"/>
        <w:rPr>
          <w:color w:val="auto"/>
          <w:sz w:val="20"/>
          <w:szCs w:val="20"/>
        </w:rPr>
      </w:pPr>
      <w:r>
        <w:rPr>
          <w:color w:val="auto"/>
          <w:sz w:val="20"/>
          <w:szCs w:val="20"/>
        </w:rPr>
        <w:drawing>
          <wp:inline distT="0" distB="0" distL="0" distR="0">
            <wp:extent cx="5278755" cy="28778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8755" cy="2877820"/>
                    </a:xfrm>
                    <a:prstGeom prst="rect">
                      <a:avLst/>
                    </a:prstGeom>
                    <a:noFill/>
                    <a:ln>
                      <a:noFill/>
                    </a:ln>
                  </pic:spPr>
                </pic:pic>
              </a:graphicData>
            </a:graphic>
          </wp:inline>
        </w:drawing>
      </w:r>
    </w:p>
    <w:p w14:paraId="35ED60C7">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34</w:t>
      </w:r>
      <w:r>
        <w:rPr>
          <w:b/>
          <w:color w:val="auto"/>
        </w:rPr>
        <w:fldChar w:fldCharType="end"/>
      </w:r>
      <w:r>
        <w:rPr>
          <w:color w:val="auto"/>
        </w:rPr>
        <w:t xml:space="preserve"> Comparison of the contents of different components on the Ni-BTA surface in the fully discharged and charged states. (a) KFO</w:t>
      </w:r>
      <w:r>
        <w:rPr>
          <w:color w:val="auto"/>
          <w:vertAlign w:val="superscript"/>
        </w:rPr>
        <w:t>-</w:t>
      </w:r>
      <w:r>
        <w:rPr>
          <w:color w:val="auto"/>
        </w:rPr>
        <w:t>, (b) KF</w:t>
      </w:r>
      <w:r>
        <w:rPr>
          <w:color w:val="auto"/>
          <w:vertAlign w:val="superscript"/>
        </w:rPr>
        <w:t>-</w:t>
      </w:r>
      <w:r>
        <w:rPr>
          <w:color w:val="auto"/>
        </w:rPr>
        <w:t>, (c) KF</w:t>
      </w:r>
      <w:r>
        <w:rPr>
          <w:color w:val="auto"/>
          <w:vertAlign w:val="subscript"/>
        </w:rPr>
        <w:t>3</w:t>
      </w:r>
      <w:r>
        <w:rPr>
          <w:color w:val="auto"/>
          <w:vertAlign w:val="superscript"/>
        </w:rPr>
        <w:t>-</w:t>
      </w:r>
      <w:r>
        <w:rPr>
          <w:color w:val="auto"/>
        </w:rPr>
        <w:t>, (d) NO</w:t>
      </w:r>
      <w:r>
        <w:rPr>
          <w:color w:val="auto"/>
          <w:vertAlign w:val="subscript"/>
        </w:rPr>
        <w:t>2</w:t>
      </w:r>
      <w:r>
        <w:rPr>
          <w:color w:val="auto"/>
        </w:rPr>
        <w:t>S</w:t>
      </w:r>
      <w:r>
        <w:rPr>
          <w:color w:val="auto"/>
          <w:vertAlign w:val="superscript"/>
        </w:rPr>
        <w:t>-</w:t>
      </w:r>
      <w:r>
        <w:rPr>
          <w:color w:val="auto"/>
        </w:rPr>
        <w:t>, (e) NOSF</w:t>
      </w:r>
      <w:r>
        <w:rPr>
          <w:color w:val="auto"/>
          <w:vertAlign w:val="superscript"/>
        </w:rPr>
        <w:t>-</w:t>
      </w:r>
      <w:r>
        <w:rPr>
          <w:color w:val="auto"/>
        </w:rPr>
        <w:t>, and (f) SO</w:t>
      </w:r>
      <w:r>
        <w:rPr>
          <w:color w:val="auto"/>
          <w:vertAlign w:val="subscript"/>
        </w:rPr>
        <w:t>3</w:t>
      </w:r>
      <w:r>
        <w:rPr>
          <w:color w:val="auto"/>
          <w:vertAlign w:val="superscript"/>
        </w:rPr>
        <w:t>-</w:t>
      </w:r>
      <w:r>
        <w:rPr>
          <w:color w:val="auto"/>
        </w:rPr>
        <w:t>.</w:t>
      </w:r>
    </w:p>
    <w:p w14:paraId="6EA67221">
      <w:pPr>
        <w:keepNext/>
        <w:jc w:val="center"/>
        <w:rPr>
          <w:color w:val="auto"/>
          <w:sz w:val="20"/>
          <w:szCs w:val="20"/>
        </w:rPr>
      </w:pPr>
      <w:r>
        <w:rPr>
          <w:color w:val="auto"/>
          <w:sz w:val="20"/>
          <w:szCs w:val="20"/>
        </w:rPr>
        <w:drawing>
          <wp:inline distT="0" distB="0" distL="0" distR="0">
            <wp:extent cx="5278755" cy="34950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8755" cy="3495040"/>
                    </a:xfrm>
                    <a:prstGeom prst="rect">
                      <a:avLst/>
                    </a:prstGeom>
                    <a:noFill/>
                    <a:ln>
                      <a:noFill/>
                    </a:ln>
                  </pic:spPr>
                </pic:pic>
              </a:graphicData>
            </a:graphic>
          </wp:inline>
        </w:drawing>
      </w:r>
    </w:p>
    <w:p w14:paraId="027552E7">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35</w:t>
      </w:r>
      <w:r>
        <w:rPr>
          <w:b/>
          <w:color w:val="auto"/>
        </w:rPr>
        <w:fldChar w:fldCharType="end"/>
      </w:r>
      <w:r>
        <w:rPr>
          <w:b/>
          <w:color w:val="auto"/>
        </w:rPr>
        <w:t xml:space="preserve"> </w:t>
      </w:r>
      <w:r>
        <w:rPr>
          <w:color w:val="auto"/>
        </w:rPr>
        <w:t>2D distribution maps of the component intensities of Ni-BTA discharged to 0.01V. (a) KFO-, (b) KF-, (c) KF3-, (d) NO2S-, (e) NOSF-, and (f) SO3-.</w:t>
      </w:r>
    </w:p>
    <w:p w14:paraId="69FA2595">
      <w:pPr>
        <w:keepNext/>
        <w:jc w:val="center"/>
        <w:rPr>
          <w:color w:val="auto"/>
          <w:sz w:val="20"/>
          <w:szCs w:val="20"/>
        </w:rPr>
      </w:pPr>
      <w:r>
        <w:rPr>
          <w:color w:val="auto"/>
          <w:sz w:val="20"/>
          <w:szCs w:val="20"/>
        </w:rPr>
        <w:drawing>
          <wp:inline distT="0" distB="0" distL="0" distR="0">
            <wp:extent cx="5278755" cy="3422015"/>
            <wp:effectExtent l="0" t="0" r="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8755" cy="3422015"/>
                    </a:xfrm>
                    <a:prstGeom prst="rect">
                      <a:avLst/>
                    </a:prstGeom>
                    <a:noFill/>
                    <a:ln>
                      <a:noFill/>
                    </a:ln>
                  </pic:spPr>
                </pic:pic>
              </a:graphicData>
            </a:graphic>
          </wp:inline>
        </w:drawing>
      </w:r>
    </w:p>
    <w:p w14:paraId="3C80B1C7">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36</w:t>
      </w:r>
      <w:r>
        <w:rPr>
          <w:b/>
          <w:color w:val="auto"/>
        </w:rPr>
        <w:fldChar w:fldCharType="end"/>
      </w:r>
      <w:r>
        <w:rPr>
          <w:color w:val="auto"/>
        </w:rPr>
        <w:t xml:space="preserve"> 2D intensity distribution maps of different component concentrations in Ni-BTA charged to 3.0V. (a) KFO</w:t>
      </w:r>
      <w:r>
        <w:rPr>
          <w:color w:val="auto"/>
          <w:vertAlign w:val="superscript"/>
        </w:rPr>
        <w:t>-</w:t>
      </w:r>
      <w:r>
        <w:rPr>
          <w:color w:val="auto"/>
        </w:rPr>
        <w:t>, (b) KF</w:t>
      </w:r>
      <w:r>
        <w:rPr>
          <w:color w:val="auto"/>
          <w:vertAlign w:val="superscript"/>
        </w:rPr>
        <w:t>-</w:t>
      </w:r>
      <w:r>
        <w:rPr>
          <w:color w:val="auto"/>
        </w:rPr>
        <w:t>, (c) KF</w:t>
      </w:r>
      <w:r>
        <w:rPr>
          <w:color w:val="auto"/>
          <w:vertAlign w:val="subscript"/>
        </w:rPr>
        <w:t>3</w:t>
      </w:r>
      <w:r>
        <w:rPr>
          <w:color w:val="auto"/>
          <w:vertAlign w:val="superscript"/>
        </w:rPr>
        <w:t>-</w:t>
      </w:r>
      <w:r>
        <w:rPr>
          <w:color w:val="auto"/>
        </w:rPr>
        <w:t>, (d) NO</w:t>
      </w:r>
      <w:r>
        <w:rPr>
          <w:color w:val="auto"/>
          <w:vertAlign w:val="subscript"/>
        </w:rPr>
        <w:t>2</w:t>
      </w:r>
      <w:r>
        <w:rPr>
          <w:color w:val="auto"/>
        </w:rPr>
        <w:t>S</w:t>
      </w:r>
      <w:r>
        <w:rPr>
          <w:color w:val="auto"/>
          <w:vertAlign w:val="superscript"/>
        </w:rPr>
        <w:t>-</w:t>
      </w:r>
      <w:r>
        <w:rPr>
          <w:color w:val="auto"/>
        </w:rPr>
        <w:t>, (e) NOSF</w:t>
      </w:r>
      <w:r>
        <w:rPr>
          <w:color w:val="auto"/>
          <w:vertAlign w:val="superscript"/>
        </w:rPr>
        <w:t>-</w:t>
      </w:r>
      <w:r>
        <w:rPr>
          <w:color w:val="auto"/>
        </w:rPr>
        <w:t>, and (f) SO</w:t>
      </w:r>
      <w:r>
        <w:rPr>
          <w:color w:val="auto"/>
          <w:vertAlign w:val="subscript"/>
        </w:rPr>
        <w:t>3</w:t>
      </w:r>
      <w:r>
        <w:rPr>
          <w:color w:val="auto"/>
          <w:vertAlign w:val="superscript"/>
        </w:rPr>
        <w:t>-</w:t>
      </w:r>
      <w:r>
        <w:rPr>
          <w:color w:val="auto"/>
        </w:rPr>
        <w:t>.</w:t>
      </w:r>
    </w:p>
    <w:p w14:paraId="3030F84F">
      <w:pPr>
        <w:jc w:val="both"/>
        <w:rPr>
          <w:color w:val="auto"/>
          <w:sz w:val="20"/>
          <w:szCs w:val="20"/>
        </w:rPr>
      </w:pPr>
    </w:p>
    <w:p w14:paraId="61B2C072">
      <w:pPr>
        <w:keepNext/>
        <w:jc w:val="center"/>
        <w:rPr>
          <w:color w:val="auto"/>
          <w:sz w:val="20"/>
          <w:szCs w:val="20"/>
        </w:rPr>
      </w:pPr>
      <w:r>
        <w:rPr>
          <w:color w:val="auto"/>
          <w:sz w:val="20"/>
          <w:szCs w:val="20"/>
        </w:rPr>
        <w:drawing>
          <wp:inline distT="0" distB="0" distL="0" distR="0">
            <wp:extent cx="4762500" cy="38766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4762500" cy="3876675"/>
                    </a:xfrm>
                    <a:prstGeom prst="rect">
                      <a:avLst/>
                    </a:prstGeom>
                    <a:noFill/>
                    <a:ln>
                      <a:noFill/>
                    </a:ln>
                  </pic:spPr>
                </pic:pic>
              </a:graphicData>
            </a:graphic>
          </wp:inline>
        </w:drawing>
      </w:r>
    </w:p>
    <w:p w14:paraId="218DB5C6">
      <w:pPr>
        <w:pStyle w:val="2"/>
        <w:rPr>
          <w:color w:val="auto"/>
        </w:rPr>
      </w:pPr>
      <w:r>
        <w:rPr>
          <w:b/>
          <w:color w:val="auto"/>
        </w:rPr>
        <w:t>Figure S</w:t>
      </w:r>
      <w:r>
        <w:rPr>
          <w:b/>
          <w:color w:val="auto"/>
        </w:rPr>
        <w:fldChar w:fldCharType="begin"/>
      </w:r>
      <w:r>
        <w:rPr>
          <w:b/>
          <w:color w:val="auto"/>
        </w:rPr>
        <w:instrText xml:space="preserve"> SEQ Figure_S \* ARABIC </w:instrText>
      </w:r>
      <w:r>
        <w:rPr>
          <w:b/>
          <w:color w:val="auto"/>
        </w:rPr>
        <w:fldChar w:fldCharType="separate"/>
      </w:r>
      <w:r>
        <w:rPr>
          <w:b/>
          <w:color w:val="auto"/>
        </w:rPr>
        <w:t>37</w:t>
      </w:r>
      <w:r>
        <w:rPr>
          <w:b/>
          <w:color w:val="auto"/>
        </w:rPr>
        <w:fldChar w:fldCharType="end"/>
      </w:r>
      <w:r>
        <w:rPr>
          <w:color w:val="auto"/>
        </w:rPr>
        <w:t xml:space="preserve"> Comparison of the composition and content of cationic characteristic components on the surface of Ni-BTA at different potentials. (a-c) Comparison of different component contents in fully discharged and fully charged states; (a) NOSF</w:t>
      </w:r>
      <w:r>
        <w:rPr>
          <w:color w:val="auto"/>
          <w:vertAlign w:val="superscript"/>
        </w:rPr>
        <w:t>+</w:t>
      </w:r>
      <w:r>
        <w:rPr>
          <w:color w:val="auto"/>
        </w:rPr>
        <w:t>, (b) NO</w:t>
      </w:r>
      <w:r>
        <w:rPr>
          <w:color w:val="auto"/>
          <w:vertAlign w:val="subscript"/>
        </w:rPr>
        <w:t>2</w:t>
      </w:r>
      <w:r>
        <w:rPr>
          <w:color w:val="auto"/>
        </w:rPr>
        <w:t>S</w:t>
      </w:r>
      <w:r>
        <w:rPr>
          <w:color w:val="auto"/>
          <w:vertAlign w:val="superscript"/>
        </w:rPr>
        <w:t>+</w:t>
      </w:r>
      <w:r>
        <w:rPr>
          <w:color w:val="auto"/>
        </w:rPr>
        <w:t>, (c) K</w:t>
      </w:r>
      <w:r>
        <w:rPr>
          <w:color w:val="auto"/>
          <w:vertAlign w:val="subscript"/>
        </w:rPr>
        <w:t>2</w:t>
      </w:r>
      <w:r>
        <w:rPr>
          <w:color w:val="auto"/>
        </w:rPr>
        <w:t>O</w:t>
      </w:r>
      <w:r>
        <w:rPr>
          <w:color w:val="auto"/>
          <w:vertAlign w:val="superscript"/>
        </w:rPr>
        <w:t>+</w:t>
      </w:r>
      <w:r>
        <w:rPr>
          <w:color w:val="auto"/>
        </w:rPr>
        <w:t>.</w:t>
      </w:r>
    </w:p>
    <w:p w14:paraId="54833708">
      <w:pPr>
        <w:jc w:val="both"/>
        <w:rPr>
          <w:color w:val="auto"/>
          <w:sz w:val="20"/>
          <w:szCs w:val="20"/>
        </w:rPr>
      </w:pPr>
    </w:p>
    <w:p w14:paraId="48E32065">
      <w:pPr>
        <w:jc w:val="both"/>
        <w:rPr>
          <w:rFonts w:eastAsia="黑体"/>
          <w:color w:val="auto"/>
          <w:sz w:val="20"/>
          <w:szCs w:val="20"/>
        </w:rPr>
      </w:pPr>
      <w:r>
        <w:rPr>
          <w:color w:val="auto"/>
          <w:sz w:val="20"/>
          <w:szCs w:val="20"/>
        </w:rPr>
        <w:br w:type="page"/>
      </w:r>
    </w:p>
    <w:p w14:paraId="4C5EB183">
      <w:pPr>
        <w:pStyle w:val="2"/>
        <w:jc w:val="left"/>
        <w:rPr>
          <w:color w:val="auto"/>
        </w:rPr>
      </w:pPr>
      <w:r>
        <w:rPr>
          <w:color w:val="auto"/>
        </w:rPr>
        <w:t>Reference</w:t>
      </w:r>
    </w:p>
    <w:p w14:paraId="003E9A31">
      <w:pPr>
        <w:pStyle w:val="61"/>
        <w:rPr>
          <w:color w:val="auto"/>
          <w:sz w:val="20"/>
        </w:rPr>
      </w:pPr>
      <w:r>
        <w:rPr>
          <w:rFonts w:eastAsiaTheme="minorEastAsia"/>
          <w:color w:val="auto"/>
          <w:kern w:val="2"/>
          <w:sz w:val="20"/>
          <w:szCs w:val="20"/>
          <w:lang w:val="en-US" w:eastAsia="zh-CN"/>
        </w:rPr>
        <w:fldChar w:fldCharType="begin"/>
      </w:r>
      <w:r>
        <w:rPr>
          <w:color w:val="auto"/>
          <w:sz w:val="20"/>
          <w:szCs w:val="20"/>
        </w:rPr>
        <w:instrText xml:space="preserve"> ADDIN ZOTERO_BIBL {"uncited":[],"omitted":[],"custom":[]} CSL_BIBLIOGRAPHY </w:instrText>
      </w:r>
      <w:r>
        <w:rPr>
          <w:rFonts w:eastAsiaTheme="minorEastAsia"/>
          <w:color w:val="auto"/>
          <w:kern w:val="2"/>
          <w:sz w:val="20"/>
          <w:szCs w:val="20"/>
          <w:lang w:val="en-US" w:eastAsia="zh-CN"/>
        </w:rPr>
        <w:fldChar w:fldCharType="separate"/>
      </w:r>
      <w:r>
        <w:rPr>
          <w:color w:val="auto"/>
          <w:sz w:val="20"/>
        </w:rPr>
        <w:t>[1]</w:t>
      </w:r>
      <w:r>
        <w:rPr>
          <w:color w:val="auto"/>
          <w:sz w:val="20"/>
        </w:rPr>
        <w:tab/>
      </w:r>
      <w:r>
        <w:rPr>
          <w:color w:val="auto"/>
          <w:sz w:val="20"/>
        </w:rPr>
        <w:t xml:space="preserve">L. Wang, Y. Ni, X. Hou, L. Chen, F. Li, J. Chen, </w:t>
      </w:r>
      <w:r>
        <w:rPr>
          <w:i/>
          <w:iCs/>
          <w:color w:val="auto"/>
          <w:sz w:val="20"/>
        </w:rPr>
        <w:t>Angew Chem Int Ed</w:t>
      </w:r>
      <w:r>
        <w:rPr>
          <w:color w:val="auto"/>
          <w:sz w:val="20"/>
        </w:rPr>
        <w:t xml:space="preserve"> </w:t>
      </w:r>
      <w:r>
        <w:rPr>
          <w:b/>
          <w:bCs/>
          <w:color w:val="auto"/>
          <w:sz w:val="20"/>
        </w:rPr>
        <w:t>2020</w:t>
      </w:r>
      <w:r>
        <w:rPr>
          <w:color w:val="auto"/>
          <w:sz w:val="20"/>
        </w:rPr>
        <w:t xml:space="preserve">, </w:t>
      </w:r>
      <w:r>
        <w:rPr>
          <w:i/>
          <w:iCs/>
          <w:color w:val="auto"/>
          <w:sz w:val="20"/>
        </w:rPr>
        <w:t>59</w:t>
      </w:r>
      <w:r>
        <w:rPr>
          <w:color w:val="auto"/>
          <w:sz w:val="20"/>
        </w:rPr>
        <w:t>, 22126.</w:t>
      </w:r>
    </w:p>
    <w:p w14:paraId="7CADECCA">
      <w:pPr>
        <w:pStyle w:val="61"/>
        <w:rPr>
          <w:color w:val="auto"/>
          <w:sz w:val="20"/>
        </w:rPr>
      </w:pPr>
      <w:r>
        <w:rPr>
          <w:color w:val="auto"/>
          <w:sz w:val="20"/>
        </w:rPr>
        <w:t>[2]</w:t>
      </w:r>
      <w:r>
        <w:rPr>
          <w:color w:val="auto"/>
          <w:sz w:val="20"/>
        </w:rPr>
        <w:tab/>
      </w:r>
      <w:r>
        <w:rPr>
          <w:color w:val="auto"/>
          <w:sz w:val="20"/>
        </w:rPr>
        <w:t xml:space="preserve">T. D. Kühne, M. Iannuzzi, M. Del Ben, V. V. Rybkin, P. Seewald, F. Stein, T. Laino, R. Z. Khaliullin, O. Schütt, F. Schiffmann, D. Golze, J. Wilhelm, S. Chulkov, M. H. Bani-Hashemian, V. Weber, U. Borštnik, M. Taillefumier, A. S. Jakobovits, A. Lazzaro, H. Pabst, T. Müller, R. Schade, M. Guidon, S. Andermatt, N. Holmberg, G. K. Schenter, A. Hehn, A. Bussy, F. Belleflamme, G. Tabacchi, A. Glöß, M. Lass, I. Bethune, C. J. Mundy, C. Plessl, M. Watkins, J. VandeVondele, M. Krack, J. Hutter, </w:t>
      </w:r>
      <w:r>
        <w:rPr>
          <w:i/>
          <w:iCs/>
          <w:color w:val="auto"/>
          <w:sz w:val="20"/>
        </w:rPr>
        <w:t>The Journal of Chemical Physics</w:t>
      </w:r>
      <w:r>
        <w:rPr>
          <w:color w:val="auto"/>
          <w:sz w:val="20"/>
        </w:rPr>
        <w:t xml:space="preserve"> </w:t>
      </w:r>
      <w:r>
        <w:rPr>
          <w:b/>
          <w:bCs/>
          <w:color w:val="auto"/>
          <w:sz w:val="20"/>
        </w:rPr>
        <w:t>2020</w:t>
      </w:r>
      <w:r>
        <w:rPr>
          <w:color w:val="auto"/>
          <w:sz w:val="20"/>
        </w:rPr>
        <w:t xml:space="preserve">, </w:t>
      </w:r>
      <w:r>
        <w:rPr>
          <w:i/>
          <w:iCs/>
          <w:color w:val="auto"/>
          <w:sz w:val="20"/>
        </w:rPr>
        <w:t>152</w:t>
      </w:r>
      <w:r>
        <w:rPr>
          <w:color w:val="auto"/>
          <w:sz w:val="20"/>
        </w:rPr>
        <w:t>, 194103.</w:t>
      </w:r>
    </w:p>
    <w:p w14:paraId="3761FAEB">
      <w:pPr>
        <w:pStyle w:val="61"/>
        <w:rPr>
          <w:color w:val="auto"/>
          <w:sz w:val="20"/>
        </w:rPr>
      </w:pPr>
      <w:r>
        <w:rPr>
          <w:color w:val="auto"/>
          <w:sz w:val="20"/>
        </w:rPr>
        <w:t>[3]</w:t>
      </w:r>
      <w:r>
        <w:rPr>
          <w:color w:val="auto"/>
          <w:sz w:val="20"/>
        </w:rPr>
        <w:tab/>
      </w:r>
      <w:r>
        <w:rPr>
          <w:color w:val="auto"/>
          <w:sz w:val="20"/>
        </w:rPr>
        <w:t xml:space="preserve">T. Lu, F. Chen, </w:t>
      </w:r>
      <w:r>
        <w:rPr>
          <w:i/>
          <w:iCs/>
          <w:color w:val="auto"/>
          <w:sz w:val="20"/>
        </w:rPr>
        <w:t>J Comput Chem</w:t>
      </w:r>
      <w:r>
        <w:rPr>
          <w:color w:val="auto"/>
          <w:sz w:val="20"/>
        </w:rPr>
        <w:t xml:space="preserve"> </w:t>
      </w:r>
      <w:r>
        <w:rPr>
          <w:b/>
          <w:bCs/>
          <w:color w:val="auto"/>
          <w:sz w:val="20"/>
        </w:rPr>
        <w:t>2012</w:t>
      </w:r>
      <w:r>
        <w:rPr>
          <w:color w:val="auto"/>
          <w:sz w:val="20"/>
        </w:rPr>
        <w:t xml:space="preserve">, </w:t>
      </w:r>
      <w:r>
        <w:rPr>
          <w:i/>
          <w:iCs/>
          <w:color w:val="auto"/>
          <w:sz w:val="20"/>
        </w:rPr>
        <w:t>33</w:t>
      </w:r>
      <w:r>
        <w:rPr>
          <w:color w:val="auto"/>
          <w:sz w:val="20"/>
        </w:rPr>
        <w:t>, 580.</w:t>
      </w:r>
    </w:p>
    <w:p w14:paraId="44E3E30F">
      <w:pPr>
        <w:pStyle w:val="61"/>
        <w:rPr>
          <w:color w:val="auto"/>
          <w:sz w:val="20"/>
        </w:rPr>
      </w:pPr>
      <w:r>
        <w:rPr>
          <w:color w:val="auto"/>
          <w:sz w:val="20"/>
        </w:rPr>
        <w:t>[4]</w:t>
      </w:r>
      <w:r>
        <w:rPr>
          <w:color w:val="auto"/>
          <w:sz w:val="20"/>
        </w:rPr>
        <w:tab/>
      </w:r>
      <w:r>
        <w:rPr>
          <w:color w:val="auto"/>
          <w:sz w:val="20"/>
        </w:rPr>
        <w:t xml:space="preserve">T. Lu, </w:t>
      </w:r>
      <w:r>
        <w:rPr>
          <w:i/>
          <w:iCs/>
          <w:color w:val="auto"/>
          <w:sz w:val="20"/>
        </w:rPr>
        <w:t>The Journal of Chemical Physics</w:t>
      </w:r>
      <w:r>
        <w:rPr>
          <w:color w:val="auto"/>
          <w:sz w:val="20"/>
        </w:rPr>
        <w:t xml:space="preserve"> </w:t>
      </w:r>
      <w:r>
        <w:rPr>
          <w:b/>
          <w:bCs/>
          <w:color w:val="auto"/>
          <w:sz w:val="20"/>
        </w:rPr>
        <w:t>2024</w:t>
      </w:r>
      <w:r>
        <w:rPr>
          <w:color w:val="auto"/>
          <w:sz w:val="20"/>
        </w:rPr>
        <w:t xml:space="preserve">, </w:t>
      </w:r>
      <w:r>
        <w:rPr>
          <w:i/>
          <w:iCs/>
          <w:color w:val="auto"/>
          <w:sz w:val="20"/>
        </w:rPr>
        <w:t>161</w:t>
      </w:r>
      <w:r>
        <w:rPr>
          <w:color w:val="auto"/>
          <w:sz w:val="20"/>
        </w:rPr>
        <w:t>, 082503.</w:t>
      </w:r>
    </w:p>
    <w:p w14:paraId="758AA08B">
      <w:pPr>
        <w:pStyle w:val="61"/>
        <w:rPr>
          <w:color w:val="auto"/>
          <w:sz w:val="20"/>
        </w:rPr>
      </w:pPr>
      <w:r>
        <w:rPr>
          <w:color w:val="auto"/>
          <w:sz w:val="20"/>
        </w:rPr>
        <w:t>[5]</w:t>
      </w:r>
      <w:r>
        <w:rPr>
          <w:color w:val="auto"/>
          <w:sz w:val="20"/>
        </w:rPr>
        <w:tab/>
      </w:r>
      <w:r>
        <w:rPr>
          <w:color w:val="auto"/>
          <w:sz w:val="20"/>
        </w:rPr>
        <w:t xml:space="preserve">W. Humphrey, A. Dalke, K. Schulten, </w:t>
      </w:r>
      <w:r>
        <w:rPr>
          <w:i/>
          <w:iCs/>
          <w:color w:val="auto"/>
          <w:sz w:val="20"/>
        </w:rPr>
        <w:t>Journal of Molecular Graphics</w:t>
      </w:r>
      <w:r>
        <w:rPr>
          <w:color w:val="auto"/>
          <w:sz w:val="20"/>
        </w:rPr>
        <w:t xml:space="preserve"> </w:t>
      </w:r>
      <w:r>
        <w:rPr>
          <w:b/>
          <w:bCs/>
          <w:color w:val="auto"/>
          <w:sz w:val="20"/>
        </w:rPr>
        <w:t>1996</w:t>
      </w:r>
      <w:r>
        <w:rPr>
          <w:color w:val="auto"/>
          <w:sz w:val="20"/>
        </w:rPr>
        <w:t xml:space="preserve">, </w:t>
      </w:r>
      <w:r>
        <w:rPr>
          <w:i/>
          <w:iCs/>
          <w:color w:val="auto"/>
          <w:sz w:val="20"/>
        </w:rPr>
        <w:t>14</w:t>
      </w:r>
      <w:r>
        <w:rPr>
          <w:color w:val="auto"/>
          <w:sz w:val="20"/>
        </w:rPr>
        <w:t>, 33.</w:t>
      </w:r>
    </w:p>
    <w:p w14:paraId="623DFC7D">
      <w:pPr>
        <w:pStyle w:val="61"/>
        <w:rPr>
          <w:color w:val="auto"/>
          <w:sz w:val="20"/>
        </w:rPr>
      </w:pPr>
      <w:r>
        <w:rPr>
          <w:color w:val="auto"/>
          <w:sz w:val="20"/>
        </w:rPr>
        <w:t>[6]</w:t>
      </w:r>
      <w:r>
        <w:rPr>
          <w:color w:val="auto"/>
          <w:sz w:val="20"/>
        </w:rPr>
        <w:tab/>
      </w:r>
      <w:r>
        <w:rPr>
          <w:color w:val="auto"/>
          <w:sz w:val="20"/>
        </w:rPr>
        <w:t xml:space="preserve">Z. Xiao, J. Meng, F. Xia, J. Wu, F. Liu, X. Zhang, L. Xu, X. Lin, L. Mai, </w:t>
      </w:r>
      <w:r>
        <w:rPr>
          <w:i/>
          <w:iCs/>
          <w:color w:val="auto"/>
          <w:sz w:val="20"/>
        </w:rPr>
        <w:t>Energy Environ. Sci.</w:t>
      </w:r>
      <w:r>
        <w:rPr>
          <w:color w:val="auto"/>
          <w:sz w:val="20"/>
        </w:rPr>
        <w:t xml:space="preserve"> </w:t>
      </w:r>
      <w:r>
        <w:rPr>
          <w:b/>
          <w:bCs/>
          <w:color w:val="auto"/>
          <w:sz w:val="20"/>
        </w:rPr>
        <w:t>2020</w:t>
      </w:r>
      <w:r>
        <w:rPr>
          <w:color w:val="auto"/>
          <w:sz w:val="20"/>
        </w:rPr>
        <w:t xml:space="preserve">, </w:t>
      </w:r>
      <w:r>
        <w:rPr>
          <w:i/>
          <w:iCs/>
          <w:color w:val="auto"/>
          <w:sz w:val="20"/>
        </w:rPr>
        <w:t>13</w:t>
      </w:r>
      <w:r>
        <w:rPr>
          <w:color w:val="auto"/>
          <w:sz w:val="20"/>
        </w:rPr>
        <w:t>, 3129.</w:t>
      </w:r>
    </w:p>
    <w:p w14:paraId="5198FCC6">
      <w:pPr>
        <w:jc w:val="both"/>
        <w:rPr>
          <w:rFonts w:eastAsiaTheme="minorEastAsia"/>
          <w:color w:val="auto"/>
          <w:sz w:val="20"/>
          <w:szCs w:val="20"/>
        </w:rPr>
      </w:pPr>
      <w:r>
        <w:rPr>
          <w:color w:val="auto"/>
          <w:sz w:val="20"/>
          <w:szCs w:val="20"/>
        </w:rPr>
        <w:fldChar w:fldCharType="end"/>
      </w:r>
    </w:p>
    <w:p w14:paraId="479F45B1">
      <w:pPr>
        <w:spacing w:line="360" w:lineRule="auto"/>
        <w:jc w:val="both"/>
        <w:rPr>
          <w:color w:val="auto"/>
          <w:sz w:val="20"/>
          <w:szCs w:val="20"/>
          <w:lang w:val="en-US"/>
        </w:rPr>
      </w:pPr>
    </w:p>
    <w:bookmarkEnd w:id="5"/>
    <w:sectPr>
      <w:headerReference r:id="rId3" w:type="default"/>
      <w:footerReference r:id="rId4" w:type="default"/>
      <w:type w:val="continuous"/>
      <w:pgSz w:w="11906" w:h="16838"/>
      <w:pgMar w:top="1417" w:right="1417" w:bottom="1134" w:left="1417"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Tahoma">
    <w:panose1 w:val="020B0604030504040204"/>
    <w:charset w:val="00"/>
    <w:family w:val="swiss"/>
    <w:pitch w:val="default"/>
    <w:sig w:usb0="E1002EFF" w:usb1="C000605B" w:usb2="00000029" w:usb3="00000000" w:csb0="200101FF" w:csb1="20280000"/>
  </w:font>
  <w:font w:name="Times">
    <w:altName w:val="Times New Roman"/>
    <w:panose1 w:val="02020603050405020304"/>
    <w:charset w:val="00"/>
    <w:family w:val="roman"/>
    <w:pitch w:val="default"/>
    <w:sig w:usb0="00000000" w:usb1="00000000" w:usb2="00000009" w:usb3="00000000" w:csb0="000001F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B96A1">
    <w:pPr>
      <w:pStyle w:val="5"/>
      <w:jc w:val="center"/>
    </w:pPr>
    <w:r>
      <w:fldChar w:fldCharType="begin"/>
    </w:r>
    <w:r>
      <w:instrText xml:space="preserve">PAGE   \* MERGEFORMAT</w:instrText>
    </w:r>
    <w:r>
      <w:fldChar w:fldCharType="separate"/>
    </w:r>
    <w:r>
      <w:t>2</w:t>
    </w:r>
    <w:r>
      <w:fldChar w:fldCharType="end"/>
    </w:r>
  </w:p>
  <w:p w14:paraId="76AE581B">
    <w:pPr>
      <w:pStyle w:val="5"/>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7A9236">
    <w:pPr>
      <w:pStyle w:val="6"/>
      <w:tabs>
        <w:tab w:val="left" w:pos="5003"/>
      </w:tabs>
      <w:jc w:val="right"/>
      <w:rPr>
        <w:lang w:val="en-US"/>
      </w:rPr>
    </w:pPr>
    <w:r>
      <w:tab/>
    </w:r>
    <w:r>
      <w:rPr>
        <w:lang w:val="en-US" w:eastAsia="en-US"/>
      </w:rPr>
      <w:drawing>
        <wp:inline distT="0" distB="0" distL="0" distR="0">
          <wp:extent cx="1488440" cy="414655"/>
          <wp:effectExtent l="0" t="0" r="0" b="0"/>
          <wp:docPr id="2"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E77661"/>
    <w:multiLevelType w:val="multilevel"/>
    <w:tmpl w:val="0AE77661"/>
    <w:lvl w:ilvl="0" w:tentative="0">
      <w:start w:val="1"/>
      <w:numFmt w:val="lowerLetter"/>
      <w:lvlText w:val="(%1)"/>
      <w:lvlJc w:val="left"/>
      <w:pPr>
        <w:ind w:left="405" w:hanging="360"/>
      </w:pPr>
      <w:rPr>
        <w:rFonts w:hint="default"/>
      </w:rPr>
    </w:lvl>
    <w:lvl w:ilvl="1" w:tentative="0">
      <w:start w:val="1"/>
      <w:numFmt w:val="lowerLetter"/>
      <w:lvlText w:val="%2)"/>
      <w:lvlJc w:val="left"/>
      <w:pPr>
        <w:ind w:left="885" w:hanging="420"/>
      </w:pPr>
    </w:lvl>
    <w:lvl w:ilvl="2" w:tentative="0">
      <w:start w:val="1"/>
      <w:numFmt w:val="lowerRoman"/>
      <w:lvlText w:val="%3."/>
      <w:lvlJc w:val="right"/>
      <w:pPr>
        <w:ind w:left="1305" w:hanging="420"/>
      </w:pPr>
    </w:lvl>
    <w:lvl w:ilvl="3" w:tentative="0">
      <w:start w:val="1"/>
      <w:numFmt w:val="decimal"/>
      <w:lvlText w:val="%4."/>
      <w:lvlJc w:val="left"/>
      <w:pPr>
        <w:ind w:left="1725" w:hanging="420"/>
      </w:pPr>
    </w:lvl>
    <w:lvl w:ilvl="4" w:tentative="0">
      <w:start w:val="1"/>
      <w:numFmt w:val="lowerLetter"/>
      <w:lvlText w:val="%5)"/>
      <w:lvlJc w:val="left"/>
      <w:pPr>
        <w:ind w:left="2145" w:hanging="420"/>
      </w:pPr>
    </w:lvl>
    <w:lvl w:ilvl="5" w:tentative="0">
      <w:start w:val="1"/>
      <w:numFmt w:val="lowerRoman"/>
      <w:lvlText w:val="%6."/>
      <w:lvlJc w:val="right"/>
      <w:pPr>
        <w:ind w:left="2565" w:hanging="420"/>
      </w:pPr>
    </w:lvl>
    <w:lvl w:ilvl="6" w:tentative="0">
      <w:start w:val="1"/>
      <w:numFmt w:val="decimal"/>
      <w:lvlText w:val="%7."/>
      <w:lvlJc w:val="left"/>
      <w:pPr>
        <w:ind w:left="2985" w:hanging="420"/>
      </w:pPr>
    </w:lvl>
    <w:lvl w:ilvl="7" w:tentative="0">
      <w:start w:val="1"/>
      <w:numFmt w:val="lowerLetter"/>
      <w:lvlText w:val="%8)"/>
      <w:lvlJc w:val="left"/>
      <w:pPr>
        <w:ind w:left="3405" w:hanging="420"/>
      </w:pPr>
    </w:lvl>
    <w:lvl w:ilvl="8" w:tentative="0">
      <w:start w:val="1"/>
      <w:numFmt w:val="lowerRoman"/>
      <w:lvlText w:val="%9."/>
      <w:lvlJc w:val="right"/>
      <w:pPr>
        <w:ind w:left="3825"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bordersDoNotSurroundHeader w:val="1"/>
  <w:bordersDoNotSurroundFooter w:val="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nforcement="0"/>
  <w:defaultTabStop w:val="708"/>
  <w:hyphenationZone w:val="425"/>
  <w:noPunctuationKerning w:val="1"/>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6A0"/>
    <w:rsid w:val="000003BB"/>
    <w:rsid w:val="0000374D"/>
    <w:rsid w:val="00004A23"/>
    <w:rsid w:val="00006A0A"/>
    <w:rsid w:val="0000703E"/>
    <w:rsid w:val="00007610"/>
    <w:rsid w:val="000112FC"/>
    <w:rsid w:val="000118B0"/>
    <w:rsid w:val="00011C49"/>
    <w:rsid w:val="00011F40"/>
    <w:rsid w:val="0001454A"/>
    <w:rsid w:val="0001683C"/>
    <w:rsid w:val="000172E7"/>
    <w:rsid w:val="000214A8"/>
    <w:rsid w:val="00023F64"/>
    <w:rsid w:val="00027FB5"/>
    <w:rsid w:val="000314D2"/>
    <w:rsid w:val="0003318F"/>
    <w:rsid w:val="0004094E"/>
    <w:rsid w:val="00040B7B"/>
    <w:rsid w:val="00041C1B"/>
    <w:rsid w:val="000437F7"/>
    <w:rsid w:val="00050985"/>
    <w:rsid w:val="0005501E"/>
    <w:rsid w:val="00055883"/>
    <w:rsid w:val="0006044D"/>
    <w:rsid w:val="00060BB7"/>
    <w:rsid w:val="00060D37"/>
    <w:rsid w:val="00062324"/>
    <w:rsid w:val="00063C0E"/>
    <w:rsid w:val="00067C29"/>
    <w:rsid w:val="00072EA7"/>
    <w:rsid w:val="00074426"/>
    <w:rsid w:val="00076EAD"/>
    <w:rsid w:val="0008287E"/>
    <w:rsid w:val="00083031"/>
    <w:rsid w:val="00086E3A"/>
    <w:rsid w:val="0008740B"/>
    <w:rsid w:val="000904D3"/>
    <w:rsid w:val="0009052E"/>
    <w:rsid w:val="0009309C"/>
    <w:rsid w:val="00093F1B"/>
    <w:rsid w:val="00094472"/>
    <w:rsid w:val="000A1F4B"/>
    <w:rsid w:val="000A21A9"/>
    <w:rsid w:val="000A38D2"/>
    <w:rsid w:val="000A3E93"/>
    <w:rsid w:val="000A472C"/>
    <w:rsid w:val="000A5773"/>
    <w:rsid w:val="000A682F"/>
    <w:rsid w:val="000B05A0"/>
    <w:rsid w:val="000B33EE"/>
    <w:rsid w:val="000B4293"/>
    <w:rsid w:val="000C24BA"/>
    <w:rsid w:val="000C259E"/>
    <w:rsid w:val="000C3E0C"/>
    <w:rsid w:val="000C6252"/>
    <w:rsid w:val="000C6F8A"/>
    <w:rsid w:val="000D2D4B"/>
    <w:rsid w:val="000D45F4"/>
    <w:rsid w:val="000D5AB4"/>
    <w:rsid w:val="000D66DB"/>
    <w:rsid w:val="000D7EBA"/>
    <w:rsid w:val="000D7FE6"/>
    <w:rsid w:val="000E36EE"/>
    <w:rsid w:val="000E788B"/>
    <w:rsid w:val="000E7A5B"/>
    <w:rsid w:val="000E7BBA"/>
    <w:rsid w:val="000F439F"/>
    <w:rsid w:val="000F512F"/>
    <w:rsid w:val="001013F4"/>
    <w:rsid w:val="001054D4"/>
    <w:rsid w:val="0010686C"/>
    <w:rsid w:val="00107C5F"/>
    <w:rsid w:val="00107CCC"/>
    <w:rsid w:val="00110011"/>
    <w:rsid w:val="001105BD"/>
    <w:rsid w:val="00110DD9"/>
    <w:rsid w:val="00116C82"/>
    <w:rsid w:val="00120BE6"/>
    <w:rsid w:val="00120E85"/>
    <w:rsid w:val="00123ADA"/>
    <w:rsid w:val="00125573"/>
    <w:rsid w:val="0012642A"/>
    <w:rsid w:val="00126D17"/>
    <w:rsid w:val="001305BF"/>
    <w:rsid w:val="00131D58"/>
    <w:rsid w:val="00132D14"/>
    <w:rsid w:val="001370B1"/>
    <w:rsid w:val="001377CA"/>
    <w:rsid w:val="00140B94"/>
    <w:rsid w:val="001450FB"/>
    <w:rsid w:val="0014658A"/>
    <w:rsid w:val="00147DB8"/>
    <w:rsid w:val="00151683"/>
    <w:rsid w:val="0015392F"/>
    <w:rsid w:val="0015563E"/>
    <w:rsid w:val="00155F66"/>
    <w:rsid w:val="0016390D"/>
    <w:rsid w:val="00164057"/>
    <w:rsid w:val="00165B37"/>
    <w:rsid w:val="00170369"/>
    <w:rsid w:val="00173757"/>
    <w:rsid w:val="00174176"/>
    <w:rsid w:val="00181D92"/>
    <w:rsid w:val="001823B6"/>
    <w:rsid w:val="001848EB"/>
    <w:rsid w:val="00187DB9"/>
    <w:rsid w:val="0019077D"/>
    <w:rsid w:val="0019194D"/>
    <w:rsid w:val="0019723B"/>
    <w:rsid w:val="001A303D"/>
    <w:rsid w:val="001A4240"/>
    <w:rsid w:val="001A6821"/>
    <w:rsid w:val="001A734D"/>
    <w:rsid w:val="001B3231"/>
    <w:rsid w:val="001B4224"/>
    <w:rsid w:val="001B7472"/>
    <w:rsid w:val="001C10AC"/>
    <w:rsid w:val="001C55FB"/>
    <w:rsid w:val="001D12BC"/>
    <w:rsid w:val="001D3A42"/>
    <w:rsid w:val="001D561D"/>
    <w:rsid w:val="001E18CC"/>
    <w:rsid w:val="001E3283"/>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2C8D"/>
    <w:rsid w:val="00214D95"/>
    <w:rsid w:val="00215531"/>
    <w:rsid w:val="002162B2"/>
    <w:rsid w:val="00216F54"/>
    <w:rsid w:val="00220933"/>
    <w:rsid w:val="00220C72"/>
    <w:rsid w:val="0022540C"/>
    <w:rsid w:val="0022600B"/>
    <w:rsid w:val="00226AA4"/>
    <w:rsid w:val="00230338"/>
    <w:rsid w:val="00233C8A"/>
    <w:rsid w:val="00236036"/>
    <w:rsid w:val="00240D90"/>
    <w:rsid w:val="0024319B"/>
    <w:rsid w:val="0025253A"/>
    <w:rsid w:val="00253CB1"/>
    <w:rsid w:val="002543F9"/>
    <w:rsid w:val="00256B43"/>
    <w:rsid w:val="00257ADD"/>
    <w:rsid w:val="00262571"/>
    <w:rsid w:val="00263334"/>
    <w:rsid w:val="00263723"/>
    <w:rsid w:val="00263CF8"/>
    <w:rsid w:val="00265635"/>
    <w:rsid w:val="00266389"/>
    <w:rsid w:val="002675F7"/>
    <w:rsid w:val="002725A5"/>
    <w:rsid w:val="0027314F"/>
    <w:rsid w:val="0028289F"/>
    <w:rsid w:val="00284157"/>
    <w:rsid w:val="00285631"/>
    <w:rsid w:val="00290D94"/>
    <w:rsid w:val="0029203C"/>
    <w:rsid w:val="00294873"/>
    <w:rsid w:val="002A4A81"/>
    <w:rsid w:val="002A73A2"/>
    <w:rsid w:val="002A7CE8"/>
    <w:rsid w:val="002B0671"/>
    <w:rsid w:val="002B262F"/>
    <w:rsid w:val="002B3553"/>
    <w:rsid w:val="002B5A0A"/>
    <w:rsid w:val="002B5E06"/>
    <w:rsid w:val="002C0CFF"/>
    <w:rsid w:val="002C73FE"/>
    <w:rsid w:val="002D09B9"/>
    <w:rsid w:val="002D16A0"/>
    <w:rsid w:val="002D2930"/>
    <w:rsid w:val="002D2DFF"/>
    <w:rsid w:val="002D3D6D"/>
    <w:rsid w:val="002D5BF8"/>
    <w:rsid w:val="002D7ECC"/>
    <w:rsid w:val="002E1B8F"/>
    <w:rsid w:val="002E2DEF"/>
    <w:rsid w:val="002E4E3E"/>
    <w:rsid w:val="002E5A25"/>
    <w:rsid w:val="002E76B2"/>
    <w:rsid w:val="002E79A2"/>
    <w:rsid w:val="002F4F4B"/>
    <w:rsid w:val="002F55FD"/>
    <w:rsid w:val="002F594C"/>
    <w:rsid w:val="003006EC"/>
    <w:rsid w:val="00301984"/>
    <w:rsid w:val="00301B0B"/>
    <w:rsid w:val="00301E84"/>
    <w:rsid w:val="00302E7A"/>
    <w:rsid w:val="00303D1B"/>
    <w:rsid w:val="003046B7"/>
    <w:rsid w:val="00317A57"/>
    <w:rsid w:val="00320493"/>
    <w:rsid w:val="00320A99"/>
    <w:rsid w:val="0032144B"/>
    <w:rsid w:val="00321E38"/>
    <w:rsid w:val="00322D5B"/>
    <w:rsid w:val="00325AC2"/>
    <w:rsid w:val="00326A1C"/>
    <w:rsid w:val="00327FDC"/>
    <w:rsid w:val="003360E3"/>
    <w:rsid w:val="003371D5"/>
    <w:rsid w:val="003376CD"/>
    <w:rsid w:val="003452C3"/>
    <w:rsid w:val="003501A7"/>
    <w:rsid w:val="0035048A"/>
    <w:rsid w:val="00360B27"/>
    <w:rsid w:val="0036263B"/>
    <w:rsid w:val="00363B62"/>
    <w:rsid w:val="003645B0"/>
    <w:rsid w:val="00364B2C"/>
    <w:rsid w:val="003664F1"/>
    <w:rsid w:val="00367E3F"/>
    <w:rsid w:val="00377EA5"/>
    <w:rsid w:val="00377F77"/>
    <w:rsid w:val="00383073"/>
    <w:rsid w:val="0038438F"/>
    <w:rsid w:val="003852B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97BDF"/>
    <w:rsid w:val="003A0F30"/>
    <w:rsid w:val="003A4C44"/>
    <w:rsid w:val="003A5AD0"/>
    <w:rsid w:val="003A6CE3"/>
    <w:rsid w:val="003A7899"/>
    <w:rsid w:val="003B15EE"/>
    <w:rsid w:val="003B517D"/>
    <w:rsid w:val="003B60EC"/>
    <w:rsid w:val="003C00ED"/>
    <w:rsid w:val="003C1C0A"/>
    <w:rsid w:val="003C35DF"/>
    <w:rsid w:val="003C4A68"/>
    <w:rsid w:val="003C554F"/>
    <w:rsid w:val="003C61DD"/>
    <w:rsid w:val="003D63E7"/>
    <w:rsid w:val="003E05F1"/>
    <w:rsid w:val="003E113B"/>
    <w:rsid w:val="003E5092"/>
    <w:rsid w:val="003E715D"/>
    <w:rsid w:val="003F103E"/>
    <w:rsid w:val="003F2E48"/>
    <w:rsid w:val="003F440C"/>
    <w:rsid w:val="003F525A"/>
    <w:rsid w:val="003F7BE6"/>
    <w:rsid w:val="004006A9"/>
    <w:rsid w:val="00400E3B"/>
    <w:rsid w:val="00404548"/>
    <w:rsid w:val="004052AE"/>
    <w:rsid w:val="004118A5"/>
    <w:rsid w:val="00413672"/>
    <w:rsid w:val="00414041"/>
    <w:rsid w:val="00414465"/>
    <w:rsid w:val="00414729"/>
    <w:rsid w:val="00414962"/>
    <w:rsid w:val="00414C80"/>
    <w:rsid w:val="00414F4B"/>
    <w:rsid w:val="00415EF9"/>
    <w:rsid w:val="00416629"/>
    <w:rsid w:val="00417DA1"/>
    <w:rsid w:val="00417FB3"/>
    <w:rsid w:val="00423478"/>
    <w:rsid w:val="00425B76"/>
    <w:rsid w:val="004260A2"/>
    <w:rsid w:val="00426FC6"/>
    <w:rsid w:val="004273BC"/>
    <w:rsid w:val="00427C5F"/>
    <w:rsid w:val="00441EAC"/>
    <w:rsid w:val="00442D32"/>
    <w:rsid w:val="004507E5"/>
    <w:rsid w:val="004519AD"/>
    <w:rsid w:val="0045459A"/>
    <w:rsid w:val="004545DB"/>
    <w:rsid w:val="0045786A"/>
    <w:rsid w:val="004603E8"/>
    <w:rsid w:val="00460F76"/>
    <w:rsid w:val="00462F12"/>
    <w:rsid w:val="00463050"/>
    <w:rsid w:val="0046340F"/>
    <w:rsid w:val="00466168"/>
    <w:rsid w:val="0046778B"/>
    <w:rsid w:val="004714D4"/>
    <w:rsid w:val="00475712"/>
    <w:rsid w:val="00480CCE"/>
    <w:rsid w:val="00482FAA"/>
    <w:rsid w:val="00487211"/>
    <w:rsid w:val="0049075F"/>
    <w:rsid w:val="00492DA8"/>
    <w:rsid w:val="004A0888"/>
    <w:rsid w:val="004A3829"/>
    <w:rsid w:val="004A43B6"/>
    <w:rsid w:val="004A70EE"/>
    <w:rsid w:val="004A774E"/>
    <w:rsid w:val="004A7D3E"/>
    <w:rsid w:val="004A7FF9"/>
    <w:rsid w:val="004B379D"/>
    <w:rsid w:val="004B5F0C"/>
    <w:rsid w:val="004B6031"/>
    <w:rsid w:val="004C046E"/>
    <w:rsid w:val="004C1609"/>
    <w:rsid w:val="004C216B"/>
    <w:rsid w:val="004C56CA"/>
    <w:rsid w:val="004C5DD3"/>
    <w:rsid w:val="004D30F9"/>
    <w:rsid w:val="004D4A32"/>
    <w:rsid w:val="004D525B"/>
    <w:rsid w:val="004D64AB"/>
    <w:rsid w:val="004E5A1E"/>
    <w:rsid w:val="004E7CE8"/>
    <w:rsid w:val="004F271D"/>
    <w:rsid w:val="004F5114"/>
    <w:rsid w:val="004F756C"/>
    <w:rsid w:val="005001FA"/>
    <w:rsid w:val="005019AF"/>
    <w:rsid w:val="00501E39"/>
    <w:rsid w:val="0050488D"/>
    <w:rsid w:val="00504D12"/>
    <w:rsid w:val="0050527A"/>
    <w:rsid w:val="0050535A"/>
    <w:rsid w:val="005106F5"/>
    <w:rsid w:val="00511192"/>
    <w:rsid w:val="005115F5"/>
    <w:rsid w:val="005118AD"/>
    <w:rsid w:val="00512353"/>
    <w:rsid w:val="005220C2"/>
    <w:rsid w:val="00522E88"/>
    <w:rsid w:val="00523369"/>
    <w:rsid w:val="0052398F"/>
    <w:rsid w:val="0052773C"/>
    <w:rsid w:val="00532380"/>
    <w:rsid w:val="00532960"/>
    <w:rsid w:val="005346D2"/>
    <w:rsid w:val="00540BB4"/>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7437"/>
    <w:rsid w:val="00592678"/>
    <w:rsid w:val="00594644"/>
    <w:rsid w:val="0059526F"/>
    <w:rsid w:val="00596F36"/>
    <w:rsid w:val="005A1741"/>
    <w:rsid w:val="005A235F"/>
    <w:rsid w:val="005A751F"/>
    <w:rsid w:val="005A7719"/>
    <w:rsid w:val="005A77C2"/>
    <w:rsid w:val="005B291B"/>
    <w:rsid w:val="005B6F9F"/>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5478"/>
    <w:rsid w:val="005F65A2"/>
    <w:rsid w:val="006006FC"/>
    <w:rsid w:val="006045BA"/>
    <w:rsid w:val="0060583A"/>
    <w:rsid w:val="00611649"/>
    <w:rsid w:val="00611A0E"/>
    <w:rsid w:val="00614154"/>
    <w:rsid w:val="00614BD3"/>
    <w:rsid w:val="00623A77"/>
    <w:rsid w:val="006256F5"/>
    <w:rsid w:val="0063097B"/>
    <w:rsid w:val="00634B80"/>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22E0"/>
    <w:rsid w:val="00662DCE"/>
    <w:rsid w:val="00664F6D"/>
    <w:rsid w:val="006650B8"/>
    <w:rsid w:val="00666329"/>
    <w:rsid w:val="006672EE"/>
    <w:rsid w:val="0067011F"/>
    <w:rsid w:val="0067015E"/>
    <w:rsid w:val="00677A71"/>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6C9C"/>
    <w:rsid w:val="006D7508"/>
    <w:rsid w:val="006E0BF6"/>
    <w:rsid w:val="006E0F2F"/>
    <w:rsid w:val="006E19D7"/>
    <w:rsid w:val="006E4576"/>
    <w:rsid w:val="006E71B9"/>
    <w:rsid w:val="006F0FE9"/>
    <w:rsid w:val="006F39B2"/>
    <w:rsid w:val="006F5384"/>
    <w:rsid w:val="006F6604"/>
    <w:rsid w:val="006F6896"/>
    <w:rsid w:val="006F71D8"/>
    <w:rsid w:val="006F7D1A"/>
    <w:rsid w:val="00702F6F"/>
    <w:rsid w:val="0070346C"/>
    <w:rsid w:val="007051A0"/>
    <w:rsid w:val="00706496"/>
    <w:rsid w:val="00711A12"/>
    <w:rsid w:val="00711F11"/>
    <w:rsid w:val="007154C4"/>
    <w:rsid w:val="00715DB9"/>
    <w:rsid w:val="007174BE"/>
    <w:rsid w:val="007218A0"/>
    <w:rsid w:val="007238AF"/>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4A8B"/>
    <w:rsid w:val="007561FC"/>
    <w:rsid w:val="00761D34"/>
    <w:rsid w:val="00762D2D"/>
    <w:rsid w:val="00764622"/>
    <w:rsid w:val="00764CAD"/>
    <w:rsid w:val="00770FA1"/>
    <w:rsid w:val="00773884"/>
    <w:rsid w:val="00774813"/>
    <w:rsid w:val="00777FC7"/>
    <w:rsid w:val="0078052A"/>
    <w:rsid w:val="007812FB"/>
    <w:rsid w:val="00784032"/>
    <w:rsid w:val="00786E79"/>
    <w:rsid w:val="00787925"/>
    <w:rsid w:val="00790E31"/>
    <w:rsid w:val="00791578"/>
    <w:rsid w:val="00793B87"/>
    <w:rsid w:val="0079566E"/>
    <w:rsid w:val="00796509"/>
    <w:rsid w:val="0079691E"/>
    <w:rsid w:val="00797723"/>
    <w:rsid w:val="007B1EEE"/>
    <w:rsid w:val="007B249B"/>
    <w:rsid w:val="007B6D4D"/>
    <w:rsid w:val="007B6FAF"/>
    <w:rsid w:val="007B7A09"/>
    <w:rsid w:val="007C0F7A"/>
    <w:rsid w:val="007C5FF1"/>
    <w:rsid w:val="007D24A9"/>
    <w:rsid w:val="007D27FA"/>
    <w:rsid w:val="007D30B5"/>
    <w:rsid w:val="007D6218"/>
    <w:rsid w:val="007D6699"/>
    <w:rsid w:val="007D7E30"/>
    <w:rsid w:val="007E0A75"/>
    <w:rsid w:val="007E3C68"/>
    <w:rsid w:val="007E6419"/>
    <w:rsid w:val="007F6815"/>
    <w:rsid w:val="007F6BA8"/>
    <w:rsid w:val="0080681B"/>
    <w:rsid w:val="0080738C"/>
    <w:rsid w:val="00810B77"/>
    <w:rsid w:val="00816856"/>
    <w:rsid w:val="00817436"/>
    <w:rsid w:val="00817C1A"/>
    <w:rsid w:val="00822217"/>
    <w:rsid w:val="0082542D"/>
    <w:rsid w:val="00827834"/>
    <w:rsid w:val="00832835"/>
    <w:rsid w:val="00835110"/>
    <w:rsid w:val="008351FC"/>
    <w:rsid w:val="00841F50"/>
    <w:rsid w:val="00843A0E"/>
    <w:rsid w:val="00845DFE"/>
    <w:rsid w:val="00846E17"/>
    <w:rsid w:val="0085200A"/>
    <w:rsid w:val="00854283"/>
    <w:rsid w:val="008573E3"/>
    <w:rsid w:val="00861E81"/>
    <w:rsid w:val="008645FF"/>
    <w:rsid w:val="00866D42"/>
    <w:rsid w:val="0087030E"/>
    <w:rsid w:val="00870AAC"/>
    <w:rsid w:val="008734F7"/>
    <w:rsid w:val="00874E9F"/>
    <w:rsid w:val="00877842"/>
    <w:rsid w:val="00877FE5"/>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4184"/>
    <w:rsid w:val="008B5740"/>
    <w:rsid w:val="008C0B84"/>
    <w:rsid w:val="008C41DA"/>
    <w:rsid w:val="008C553A"/>
    <w:rsid w:val="008C588E"/>
    <w:rsid w:val="008C6D5F"/>
    <w:rsid w:val="008C7226"/>
    <w:rsid w:val="008D7B80"/>
    <w:rsid w:val="008E0359"/>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2145D"/>
    <w:rsid w:val="009245DE"/>
    <w:rsid w:val="00930762"/>
    <w:rsid w:val="00930C0C"/>
    <w:rsid w:val="00936B81"/>
    <w:rsid w:val="00944701"/>
    <w:rsid w:val="00950ED1"/>
    <w:rsid w:val="00952A7A"/>
    <w:rsid w:val="00953A02"/>
    <w:rsid w:val="0095444E"/>
    <w:rsid w:val="00954947"/>
    <w:rsid w:val="00955C67"/>
    <w:rsid w:val="00957B65"/>
    <w:rsid w:val="00960AFF"/>
    <w:rsid w:val="00963F62"/>
    <w:rsid w:val="00965EFC"/>
    <w:rsid w:val="0097161B"/>
    <w:rsid w:val="009762D2"/>
    <w:rsid w:val="009762F1"/>
    <w:rsid w:val="0097692D"/>
    <w:rsid w:val="009776D2"/>
    <w:rsid w:val="00977EA8"/>
    <w:rsid w:val="0098140D"/>
    <w:rsid w:val="00981CED"/>
    <w:rsid w:val="00983E37"/>
    <w:rsid w:val="00987225"/>
    <w:rsid w:val="00987EBC"/>
    <w:rsid w:val="00990870"/>
    <w:rsid w:val="00990DCF"/>
    <w:rsid w:val="009920F5"/>
    <w:rsid w:val="00992B56"/>
    <w:rsid w:val="00992CDA"/>
    <w:rsid w:val="00993342"/>
    <w:rsid w:val="00996CE4"/>
    <w:rsid w:val="009A0FB3"/>
    <w:rsid w:val="009A3F36"/>
    <w:rsid w:val="009A48D8"/>
    <w:rsid w:val="009A6C59"/>
    <w:rsid w:val="009A7878"/>
    <w:rsid w:val="009B0888"/>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20A9"/>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4A66"/>
    <w:rsid w:val="00A14F9B"/>
    <w:rsid w:val="00A167F1"/>
    <w:rsid w:val="00A2085F"/>
    <w:rsid w:val="00A20EC0"/>
    <w:rsid w:val="00A2150B"/>
    <w:rsid w:val="00A215D9"/>
    <w:rsid w:val="00A2292C"/>
    <w:rsid w:val="00A22DD6"/>
    <w:rsid w:val="00A23FC3"/>
    <w:rsid w:val="00A25F1B"/>
    <w:rsid w:val="00A3288D"/>
    <w:rsid w:val="00A329DC"/>
    <w:rsid w:val="00A35E51"/>
    <w:rsid w:val="00A41135"/>
    <w:rsid w:val="00A41FEB"/>
    <w:rsid w:val="00A42FBA"/>
    <w:rsid w:val="00A44DA6"/>
    <w:rsid w:val="00A50921"/>
    <w:rsid w:val="00A5160D"/>
    <w:rsid w:val="00A56CA4"/>
    <w:rsid w:val="00A65F04"/>
    <w:rsid w:val="00A65F2E"/>
    <w:rsid w:val="00A7086D"/>
    <w:rsid w:val="00A71AD5"/>
    <w:rsid w:val="00A8073E"/>
    <w:rsid w:val="00A80883"/>
    <w:rsid w:val="00A81BED"/>
    <w:rsid w:val="00A82FC6"/>
    <w:rsid w:val="00A85A0D"/>
    <w:rsid w:val="00A92270"/>
    <w:rsid w:val="00AA10AE"/>
    <w:rsid w:val="00AA329F"/>
    <w:rsid w:val="00AA677D"/>
    <w:rsid w:val="00AA7B6A"/>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06DDC"/>
    <w:rsid w:val="00B1072F"/>
    <w:rsid w:val="00B15820"/>
    <w:rsid w:val="00B215D8"/>
    <w:rsid w:val="00B2218A"/>
    <w:rsid w:val="00B23F64"/>
    <w:rsid w:val="00B246ED"/>
    <w:rsid w:val="00B26DD0"/>
    <w:rsid w:val="00B338C8"/>
    <w:rsid w:val="00B341CC"/>
    <w:rsid w:val="00B35321"/>
    <w:rsid w:val="00B35505"/>
    <w:rsid w:val="00B35CB3"/>
    <w:rsid w:val="00B35E0A"/>
    <w:rsid w:val="00B40124"/>
    <w:rsid w:val="00B40B86"/>
    <w:rsid w:val="00B42E03"/>
    <w:rsid w:val="00B443E2"/>
    <w:rsid w:val="00B46222"/>
    <w:rsid w:val="00B54092"/>
    <w:rsid w:val="00B5444C"/>
    <w:rsid w:val="00B544A2"/>
    <w:rsid w:val="00B5568B"/>
    <w:rsid w:val="00B557BF"/>
    <w:rsid w:val="00B55BD6"/>
    <w:rsid w:val="00B56147"/>
    <w:rsid w:val="00B5720A"/>
    <w:rsid w:val="00B604A0"/>
    <w:rsid w:val="00B60761"/>
    <w:rsid w:val="00B620A5"/>
    <w:rsid w:val="00B62BB1"/>
    <w:rsid w:val="00B63559"/>
    <w:rsid w:val="00B73979"/>
    <w:rsid w:val="00B751B0"/>
    <w:rsid w:val="00B762E0"/>
    <w:rsid w:val="00B86188"/>
    <w:rsid w:val="00B86C54"/>
    <w:rsid w:val="00B874C4"/>
    <w:rsid w:val="00B97AA2"/>
    <w:rsid w:val="00B97B8E"/>
    <w:rsid w:val="00BA00A8"/>
    <w:rsid w:val="00BA0378"/>
    <w:rsid w:val="00BA37A4"/>
    <w:rsid w:val="00BA4FB0"/>
    <w:rsid w:val="00BA6138"/>
    <w:rsid w:val="00BB1930"/>
    <w:rsid w:val="00BB3478"/>
    <w:rsid w:val="00BC2247"/>
    <w:rsid w:val="00BC5572"/>
    <w:rsid w:val="00BD497C"/>
    <w:rsid w:val="00BD57EE"/>
    <w:rsid w:val="00BE2EFB"/>
    <w:rsid w:val="00BE4E8A"/>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3184D"/>
    <w:rsid w:val="00C331FD"/>
    <w:rsid w:val="00C340E5"/>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21F"/>
    <w:rsid w:val="00CC0ED3"/>
    <w:rsid w:val="00CC1894"/>
    <w:rsid w:val="00CC2EE2"/>
    <w:rsid w:val="00CC3D03"/>
    <w:rsid w:val="00CC45DB"/>
    <w:rsid w:val="00CC5651"/>
    <w:rsid w:val="00CC73FF"/>
    <w:rsid w:val="00CD141E"/>
    <w:rsid w:val="00CD45DA"/>
    <w:rsid w:val="00CE2EA4"/>
    <w:rsid w:val="00CE5714"/>
    <w:rsid w:val="00CE6138"/>
    <w:rsid w:val="00CE6F33"/>
    <w:rsid w:val="00CE6F59"/>
    <w:rsid w:val="00CE7AAB"/>
    <w:rsid w:val="00CF2673"/>
    <w:rsid w:val="00CF2DA1"/>
    <w:rsid w:val="00CF43B1"/>
    <w:rsid w:val="00D0614B"/>
    <w:rsid w:val="00D06AD1"/>
    <w:rsid w:val="00D17549"/>
    <w:rsid w:val="00D24D97"/>
    <w:rsid w:val="00D275F5"/>
    <w:rsid w:val="00D3579A"/>
    <w:rsid w:val="00D376F1"/>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87749"/>
    <w:rsid w:val="00D9072A"/>
    <w:rsid w:val="00D931C3"/>
    <w:rsid w:val="00D94852"/>
    <w:rsid w:val="00DA039C"/>
    <w:rsid w:val="00DA10B4"/>
    <w:rsid w:val="00DA6EBE"/>
    <w:rsid w:val="00DB27CC"/>
    <w:rsid w:val="00DB2A54"/>
    <w:rsid w:val="00DB4EF9"/>
    <w:rsid w:val="00DC29FE"/>
    <w:rsid w:val="00DC430C"/>
    <w:rsid w:val="00DC60FB"/>
    <w:rsid w:val="00DC7319"/>
    <w:rsid w:val="00DC742E"/>
    <w:rsid w:val="00DD38DC"/>
    <w:rsid w:val="00DD63FF"/>
    <w:rsid w:val="00DF1BBF"/>
    <w:rsid w:val="00DF3145"/>
    <w:rsid w:val="00DF4B0E"/>
    <w:rsid w:val="00E01E4B"/>
    <w:rsid w:val="00E062B0"/>
    <w:rsid w:val="00E0711E"/>
    <w:rsid w:val="00E0770C"/>
    <w:rsid w:val="00E14DFA"/>
    <w:rsid w:val="00E17EA5"/>
    <w:rsid w:val="00E229DB"/>
    <w:rsid w:val="00E24DAB"/>
    <w:rsid w:val="00E2571A"/>
    <w:rsid w:val="00E26EDC"/>
    <w:rsid w:val="00E2713C"/>
    <w:rsid w:val="00E30B42"/>
    <w:rsid w:val="00E342D7"/>
    <w:rsid w:val="00E34554"/>
    <w:rsid w:val="00E34D1F"/>
    <w:rsid w:val="00E35C26"/>
    <w:rsid w:val="00E410EA"/>
    <w:rsid w:val="00E41D5C"/>
    <w:rsid w:val="00E437F7"/>
    <w:rsid w:val="00E529F9"/>
    <w:rsid w:val="00E55017"/>
    <w:rsid w:val="00E55416"/>
    <w:rsid w:val="00E557D1"/>
    <w:rsid w:val="00E56282"/>
    <w:rsid w:val="00E616BF"/>
    <w:rsid w:val="00E658AA"/>
    <w:rsid w:val="00E6656A"/>
    <w:rsid w:val="00E70D30"/>
    <w:rsid w:val="00E716BA"/>
    <w:rsid w:val="00E735DC"/>
    <w:rsid w:val="00E75977"/>
    <w:rsid w:val="00E76431"/>
    <w:rsid w:val="00E7686D"/>
    <w:rsid w:val="00E813BA"/>
    <w:rsid w:val="00E8590C"/>
    <w:rsid w:val="00E85F76"/>
    <w:rsid w:val="00E93590"/>
    <w:rsid w:val="00E94506"/>
    <w:rsid w:val="00E95A7B"/>
    <w:rsid w:val="00E969E9"/>
    <w:rsid w:val="00EA01A0"/>
    <w:rsid w:val="00EA155A"/>
    <w:rsid w:val="00EA24D4"/>
    <w:rsid w:val="00EA2851"/>
    <w:rsid w:val="00EA3515"/>
    <w:rsid w:val="00EA4472"/>
    <w:rsid w:val="00EA55FE"/>
    <w:rsid w:val="00EB0B4F"/>
    <w:rsid w:val="00EB1B59"/>
    <w:rsid w:val="00EB4384"/>
    <w:rsid w:val="00EB6065"/>
    <w:rsid w:val="00EB6374"/>
    <w:rsid w:val="00EC0826"/>
    <w:rsid w:val="00EC4E99"/>
    <w:rsid w:val="00EC5230"/>
    <w:rsid w:val="00EC59CE"/>
    <w:rsid w:val="00EC7E23"/>
    <w:rsid w:val="00ED3A21"/>
    <w:rsid w:val="00ED54F9"/>
    <w:rsid w:val="00ED6982"/>
    <w:rsid w:val="00EE0218"/>
    <w:rsid w:val="00EE0E54"/>
    <w:rsid w:val="00EE1033"/>
    <w:rsid w:val="00EE114E"/>
    <w:rsid w:val="00EE6AE5"/>
    <w:rsid w:val="00EF24BB"/>
    <w:rsid w:val="00EF2B90"/>
    <w:rsid w:val="00EF32F6"/>
    <w:rsid w:val="00EF4114"/>
    <w:rsid w:val="00EF448F"/>
    <w:rsid w:val="00EF4634"/>
    <w:rsid w:val="00EF472E"/>
    <w:rsid w:val="00EF4A5A"/>
    <w:rsid w:val="00EF4EC4"/>
    <w:rsid w:val="00EF66A9"/>
    <w:rsid w:val="00EF74D8"/>
    <w:rsid w:val="00F01898"/>
    <w:rsid w:val="00F02F3F"/>
    <w:rsid w:val="00F05EE0"/>
    <w:rsid w:val="00F06985"/>
    <w:rsid w:val="00F07DE8"/>
    <w:rsid w:val="00F156B3"/>
    <w:rsid w:val="00F15FD8"/>
    <w:rsid w:val="00F21A1A"/>
    <w:rsid w:val="00F22813"/>
    <w:rsid w:val="00F22FC8"/>
    <w:rsid w:val="00F27F36"/>
    <w:rsid w:val="00F32B8C"/>
    <w:rsid w:val="00F33383"/>
    <w:rsid w:val="00F33D5B"/>
    <w:rsid w:val="00F34DE4"/>
    <w:rsid w:val="00F4030B"/>
    <w:rsid w:val="00F40BC8"/>
    <w:rsid w:val="00F42F65"/>
    <w:rsid w:val="00F444F5"/>
    <w:rsid w:val="00F44879"/>
    <w:rsid w:val="00F4602E"/>
    <w:rsid w:val="00F46BCF"/>
    <w:rsid w:val="00F515AF"/>
    <w:rsid w:val="00F53E05"/>
    <w:rsid w:val="00F5550A"/>
    <w:rsid w:val="00F55A56"/>
    <w:rsid w:val="00F55D6D"/>
    <w:rsid w:val="00F56088"/>
    <w:rsid w:val="00F6031D"/>
    <w:rsid w:val="00F61303"/>
    <w:rsid w:val="00F65606"/>
    <w:rsid w:val="00F66614"/>
    <w:rsid w:val="00F67764"/>
    <w:rsid w:val="00F67C19"/>
    <w:rsid w:val="00F71232"/>
    <w:rsid w:val="00F74722"/>
    <w:rsid w:val="00F75F45"/>
    <w:rsid w:val="00F76E60"/>
    <w:rsid w:val="00F82957"/>
    <w:rsid w:val="00F83BD2"/>
    <w:rsid w:val="00F857CA"/>
    <w:rsid w:val="00F92C2B"/>
    <w:rsid w:val="00F94241"/>
    <w:rsid w:val="00F945CD"/>
    <w:rsid w:val="00F95ECF"/>
    <w:rsid w:val="00F9792C"/>
    <w:rsid w:val="00F97AAA"/>
    <w:rsid w:val="00FA4AD8"/>
    <w:rsid w:val="00FB3597"/>
    <w:rsid w:val="00FB53CA"/>
    <w:rsid w:val="00FC3750"/>
    <w:rsid w:val="00FC487C"/>
    <w:rsid w:val="00FC51A5"/>
    <w:rsid w:val="00FD0B36"/>
    <w:rsid w:val="00FD168A"/>
    <w:rsid w:val="00FD3643"/>
    <w:rsid w:val="00FD553C"/>
    <w:rsid w:val="00FD64FA"/>
    <w:rsid w:val="00FD6F5E"/>
    <w:rsid w:val="00FE087D"/>
    <w:rsid w:val="00FE133D"/>
    <w:rsid w:val="00FE2090"/>
    <w:rsid w:val="00FE359D"/>
    <w:rsid w:val="00FE47EA"/>
    <w:rsid w:val="00FE4D5F"/>
    <w:rsid w:val="00FE7BC4"/>
    <w:rsid w:val="00FF050D"/>
    <w:rsid w:val="00FF29D4"/>
    <w:rsid w:val="00FF388D"/>
    <w:rsid w:val="25F9357A"/>
    <w:rsid w:val="5D2D5A9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MS Mincho"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name="footnote text"/>
    <w:lsdException w:qFormat="1" w:uiPriority="99" w:semiHidden="0" w:name="annotation text"/>
    <w:lsdException w:qFormat="1" w:unhideWhenUsed="0" w:uiPriority="0" w:semiHidden="0" w:name="header"/>
    <w:lsdException w:qFormat="1" w:unhideWhenUsed="0"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MS Mincho" w:cs="Times New Roman"/>
      <w:sz w:val="24"/>
      <w:szCs w:val="24"/>
      <w:lang w:val="de-DE" w:eastAsia="ja-JP" w:bidi="ar-SA"/>
    </w:rPr>
  </w:style>
  <w:style w:type="character" w:default="1" w:styleId="12">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caption"/>
    <w:basedOn w:val="1"/>
    <w:next w:val="1"/>
    <w:unhideWhenUsed/>
    <w:qFormat/>
    <w:uiPriority w:val="35"/>
    <w:pPr>
      <w:spacing w:line="288" w:lineRule="auto"/>
      <w:jc w:val="center"/>
    </w:pPr>
    <w:rPr>
      <w:bCs/>
      <w:sz w:val="20"/>
      <w:szCs w:val="20"/>
    </w:rPr>
  </w:style>
  <w:style w:type="paragraph" w:styleId="3">
    <w:name w:val="annotation text"/>
    <w:basedOn w:val="1"/>
    <w:link w:val="51"/>
    <w:unhideWhenUsed/>
    <w:qFormat/>
    <w:uiPriority w:val="99"/>
    <w:rPr>
      <w:sz w:val="20"/>
      <w:szCs w:val="20"/>
      <w:lang w:val="zh-CN"/>
    </w:rPr>
  </w:style>
  <w:style w:type="paragraph" w:styleId="4">
    <w:name w:val="Balloon Text"/>
    <w:basedOn w:val="1"/>
    <w:semiHidden/>
    <w:qFormat/>
    <w:uiPriority w:val="0"/>
    <w:rPr>
      <w:rFonts w:ascii="Tahoma" w:hAnsi="Tahoma" w:cs="Tahoma"/>
      <w:sz w:val="16"/>
      <w:szCs w:val="16"/>
    </w:rPr>
  </w:style>
  <w:style w:type="paragraph" w:styleId="5">
    <w:name w:val="footer"/>
    <w:basedOn w:val="1"/>
    <w:link w:val="53"/>
    <w:qFormat/>
    <w:uiPriority w:val="99"/>
    <w:pPr>
      <w:tabs>
        <w:tab w:val="center" w:pos="4536"/>
        <w:tab w:val="right" w:pos="9072"/>
      </w:tabs>
    </w:pPr>
  </w:style>
  <w:style w:type="paragraph" w:styleId="6">
    <w:name w:val="header"/>
    <w:basedOn w:val="1"/>
    <w:link w:val="50"/>
    <w:qFormat/>
    <w:uiPriority w:val="0"/>
    <w:pPr>
      <w:tabs>
        <w:tab w:val="center" w:pos="4536"/>
        <w:tab w:val="right" w:pos="9072"/>
      </w:tabs>
    </w:pPr>
    <w:rPr>
      <w:lang w:val="zh-CN"/>
    </w:rPr>
  </w:style>
  <w:style w:type="paragraph" w:styleId="7">
    <w:name w:val="footnote text"/>
    <w:basedOn w:val="1"/>
    <w:semiHidden/>
    <w:qFormat/>
    <w:uiPriority w:val="0"/>
    <w:pPr>
      <w:keepLines/>
      <w:widowControl w:val="0"/>
      <w:jc w:val="both"/>
    </w:pPr>
    <w:rPr>
      <w:rFonts w:eastAsia="Times New Roman"/>
      <w:sz w:val="20"/>
      <w:szCs w:val="20"/>
      <w:lang w:val="en-GB" w:eastAsia="ro-RO"/>
    </w:rPr>
  </w:style>
  <w:style w:type="paragraph" w:styleId="8">
    <w:name w:val="Normal (Web)"/>
    <w:basedOn w:val="1"/>
    <w:semiHidden/>
    <w:unhideWhenUsed/>
    <w:qFormat/>
    <w:uiPriority w:val="99"/>
  </w:style>
  <w:style w:type="paragraph" w:styleId="9">
    <w:name w:val="annotation subject"/>
    <w:basedOn w:val="3"/>
    <w:next w:val="3"/>
    <w:link w:val="52"/>
    <w:semiHidden/>
    <w:unhideWhenUsed/>
    <w:qFormat/>
    <w:uiPriority w:val="99"/>
    <w:rPr>
      <w:b/>
      <w:bCs/>
    </w:rPr>
  </w:style>
  <w:style w:type="table" w:styleId="11">
    <w:name w:val="Table Grid"/>
    <w:basedOn w:val="1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Hyperlink"/>
    <w:basedOn w:val="12"/>
    <w:unhideWhenUsed/>
    <w:qFormat/>
    <w:uiPriority w:val="99"/>
    <w:rPr>
      <w:color w:val="0563C1" w:themeColor="hyperlink"/>
      <w:u w:val="single"/>
      <w14:textFill>
        <w14:solidFill>
          <w14:schemeClr w14:val="hlink"/>
        </w14:solidFill>
      </w14:textFill>
    </w:rPr>
  </w:style>
  <w:style w:type="character" w:styleId="14">
    <w:name w:val="annotation reference"/>
    <w:semiHidden/>
    <w:unhideWhenUsed/>
    <w:qFormat/>
    <w:uiPriority w:val="99"/>
    <w:rPr>
      <w:sz w:val="16"/>
      <w:szCs w:val="16"/>
    </w:rPr>
  </w:style>
  <w:style w:type="paragraph" w:customStyle="1" w:styleId="15">
    <w:name w:val="History"/>
    <w:basedOn w:val="1"/>
    <w:qFormat/>
    <w:uiPriority w:val="0"/>
    <w:pPr>
      <w:spacing w:before="230" w:after="460" w:line="180" w:lineRule="exact"/>
      <w:jc w:val="right"/>
    </w:pPr>
    <w:rPr>
      <w:rFonts w:ascii="Arial" w:hAnsi="Arial"/>
      <w:sz w:val="14"/>
      <w:szCs w:val="16"/>
    </w:rPr>
  </w:style>
  <w:style w:type="paragraph" w:customStyle="1" w:styleId="16">
    <w:name w:val="References"/>
    <w:basedOn w:val="1"/>
    <w:qFormat/>
    <w:uiPriority w:val="0"/>
    <w:pPr>
      <w:spacing w:line="200" w:lineRule="exact"/>
      <w:ind w:left="425" w:hanging="425"/>
      <w:jc w:val="both"/>
    </w:pPr>
    <w:rPr>
      <w:sz w:val="15"/>
      <w:szCs w:val="14"/>
      <w:lang w:val="en-GB"/>
    </w:rPr>
  </w:style>
  <w:style w:type="paragraph" w:customStyle="1" w:styleId="17">
    <w:name w:val="HExperimental_Section"/>
    <w:basedOn w:val="1"/>
    <w:qFormat/>
    <w:uiPriority w:val="0"/>
    <w:pPr>
      <w:spacing w:before="460" w:after="230" w:line="230" w:lineRule="atLeast"/>
    </w:pPr>
    <w:rPr>
      <w:i/>
      <w:szCs w:val="20"/>
    </w:rPr>
  </w:style>
  <w:style w:type="paragraph" w:customStyle="1" w:styleId="18">
    <w:name w:val="ExperimentalSection"/>
    <w:basedOn w:val="1"/>
    <w:qFormat/>
    <w:uiPriority w:val="0"/>
    <w:pPr>
      <w:spacing w:after="240" w:line="200" w:lineRule="exact"/>
      <w:ind w:firstLine="170"/>
      <w:jc w:val="both"/>
    </w:pPr>
    <w:rPr>
      <w:sz w:val="16"/>
      <w:szCs w:val="14"/>
      <w:lang w:val="en-GB"/>
    </w:rPr>
  </w:style>
  <w:style w:type="paragraph" w:customStyle="1" w:styleId="19">
    <w:name w:val="FNB"/>
    <w:basedOn w:val="1"/>
    <w:link w:val="20"/>
    <w:qFormat/>
    <w:uiPriority w:val="0"/>
    <w:pPr>
      <w:widowControl w:val="0"/>
      <w:spacing w:after="40" w:line="160" w:lineRule="exact"/>
      <w:ind w:left="567" w:right="4434" w:hanging="567"/>
      <w:jc w:val="both"/>
    </w:pPr>
    <w:rPr>
      <w:rFonts w:ascii="Times" w:hAnsi="Times"/>
      <w:sz w:val="14"/>
      <w:szCs w:val="3276"/>
      <w:lang w:val="en-GB" w:eastAsia="de-DE"/>
    </w:rPr>
  </w:style>
  <w:style w:type="character" w:customStyle="1" w:styleId="20">
    <w:name w:val="FNB Char"/>
    <w:link w:val="19"/>
    <w:qFormat/>
    <w:uiPriority w:val="0"/>
    <w:rPr>
      <w:rFonts w:ascii="Times" w:hAnsi="Times"/>
      <w:sz w:val="14"/>
      <w:szCs w:val="3276"/>
      <w:lang w:val="en-GB" w:eastAsia="de-DE" w:bidi="ar-SA"/>
    </w:rPr>
  </w:style>
  <w:style w:type="paragraph" w:customStyle="1" w:styleId="21">
    <w:name w:val="Ack"/>
    <w:basedOn w:val="1"/>
    <w:qFormat/>
    <w:uiPriority w:val="0"/>
  </w:style>
  <w:style w:type="paragraph" w:customStyle="1" w:styleId="22">
    <w:name w:val="TableCaption"/>
    <w:basedOn w:val="1"/>
    <w:qFormat/>
    <w:uiPriority w:val="0"/>
    <w:pPr>
      <w:spacing w:after="120" w:line="190" w:lineRule="exact"/>
      <w:jc w:val="both"/>
    </w:pPr>
    <w:rPr>
      <w:rFonts w:ascii="Arial" w:hAnsi="Arial"/>
      <w:sz w:val="16"/>
      <w:szCs w:val="14"/>
      <w:lang w:val="en-GB"/>
    </w:rPr>
  </w:style>
  <w:style w:type="paragraph" w:customStyle="1" w:styleId="23">
    <w:name w:val="TableHead"/>
    <w:basedOn w:val="22"/>
    <w:qFormat/>
    <w:uiPriority w:val="0"/>
    <w:pPr>
      <w:pBdr>
        <w:top w:val="single" w:color="FFFFFF" w:sz="4" w:space="4"/>
        <w:left w:val="single" w:color="FFFFFF" w:sz="4" w:space="4"/>
        <w:bottom w:val="single" w:color="FFFFFF" w:sz="4" w:space="4"/>
        <w:right w:val="single" w:color="FFFFFF" w:sz="4" w:space="4"/>
      </w:pBdr>
      <w:spacing w:after="0"/>
    </w:pPr>
  </w:style>
  <w:style w:type="paragraph" w:customStyle="1" w:styleId="24">
    <w:name w:val="TableBody"/>
    <w:basedOn w:val="23"/>
    <w:qFormat/>
    <w:uiPriority w:val="0"/>
  </w:style>
  <w:style w:type="paragraph" w:customStyle="1" w:styleId="25">
    <w:name w:val="TableFoot"/>
    <w:basedOn w:val="24"/>
    <w:qFormat/>
    <w:uiPriority w:val="0"/>
    <w:pPr>
      <w:spacing w:before="60" w:after="60"/>
    </w:pPr>
  </w:style>
  <w:style w:type="paragraph" w:customStyle="1" w:styleId="26">
    <w:name w:val="SchemeCaption"/>
    <w:basedOn w:val="1"/>
    <w:qFormat/>
    <w:uiPriority w:val="0"/>
    <w:pPr>
      <w:spacing w:before="230" w:after="460" w:line="190" w:lineRule="exact"/>
      <w:jc w:val="both"/>
    </w:pPr>
    <w:rPr>
      <w:rFonts w:ascii="Arial" w:hAnsi="Arial"/>
      <w:sz w:val="16"/>
      <w:szCs w:val="14"/>
      <w:lang w:val="en-GB"/>
    </w:rPr>
  </w:style>
  <w:style w:type="paragraph" w:customStyle="1" w:styleId="27">
    <w:name w:val="STOE"/>
    <w:basedOn w:val="1"/>
    <w:link w:val="28"/>
    <w:qFormat/>
    <w:uiPriority w:val="0"/>
    <w:pPr>
      <w:widowControl w:val="0"/>
      <w:spacing w:line="236" w:lineRule="exact"/>
      <w:ind w:right="4434"/>
      <w:jc w:val="both"/>
    </w:pPr>
    <w:rPr>
      <w:rFonts w:ascii="Times" w:hAnsi="Times"/>
      <w:sz w:val="18"/>
      <w:szCs w:val="3276"/>
      <w:lang w:val="en-GB" w:eastAsia="de-DE"/>
    </w:rPr>
  </w:style>
  <w:style w:type="character" w:customStyle="1" w:styleId="28">
    <w:name w:val="STOE Char1"/>
    <w:link w:val="27"/>
    <w:qFormat/>
    <w:uiPriority w:val="0"/>
    <w:rPr>
      <w:rFonts w:ascii="Times" w:hAnsi="Times"/>
      <w:sz w:val="18"/>
      <w:szCs w:val="3276"/>
      <w:lang w:val="en-GB" w:eastAsia="de-DE" w:bidi="ar-SA"/>
    </w:rPr>
  </w:style>
  <w:style w:type="paragraph" w:customStyle="1" w:styleId="29">
    <w:name w:val="Title1"/>
    <w:basedOn w:val="1"/>
    <w:qFormat/>
    <w:uiPriority w:val="0"/>
    <w:rPr>
      <w:b/>
      <w:lang w:val="en-US"/>
    </w:rPr>
  </w:style>
  <w:style w:type="paragraph" w:customStyle="1" w:styleId="30">
    <w:name w:val="Authors Full"/>
    <w:basedOn w:val="1"/>
    <w:qFormat/>
    <w:uiPriority w:val="0"/>
    <w:rPr>
      <w:i/>
      <w:lang w:val="en-US"/>
    </w:rPr>
  </w:style>
  <w:style w:type="paragraph" w:customStyle="1" w:styleId="31">
    <w:name w:val="dedication"/>
    <w:basedOn w:val="1"/>
    <w:qFormat/>
    <w:uiPriority w:val="0"/>
    <w:rPr>
      <w:i/>
      <w:lang w:val="en-US"/>
    </w:rPr>
  </w:style>
  <w:style w:type="paragraph" w:customStyle="1" w:styleId="32">
    <w:name w:val="Addresses"/>
    <w:basedOn w:val="1"/>
    <w:qFormat/>
    <w:uiPriority w:val="0"/>
    <w:rPr>
      <w:lang w:val="en-US"/>
    </w:rPr>
  </w:style>
  <w:style w:type="paragraph" w:customStyle="1" w:styleId="33">
    <w:name w:val="Acknowledgements"/>
    <w:basedOn w:val="1"/>
    <w:qFormat/>
    <w:uiPriority w:val="0"/>
    <w:rPr>
      <w:lang w:val="en-US"/>
    </w:rPr>
  </w:style>
  <w:style w:type="paragraph" w:customStyle="1" w:styleId="34">
    <w:name w:val="Abstract"/>
    <w:basedOn w:val="1"/>
    <w:autoRedefine/>
    <w:qFormat/>
    <w:uiPriority w:val="0"/>
    <w:pPr>
      <w:spacing w:line="480" w:lineRule="auto"/>
    </w:pPr>
    <w:rPr>
      <w:lang w:val="en-US"/>
    </w:rPr>
  </w:style>
  <w:style w:type="paragraph" w:customStyle="1" w:styleId="35">
    <w:name w:val="Head 1"/>
    <w:basedOn w:val="1"/>
    <w:autoRedefine/>
    <w:qFormat/>
    <w:uiPriority w:val="0"/>
    <w:pPr>
      <w:spacing w:before="120" w:beforeLines="50" w:after="120" w:afterLines="50" w:line="360" w:lineRule="auto"/>
    </w:pPr>
    <w:rPr>
      <w:b/>
      <w:sz w:val="28"/>
      <w:szCs w:val="28"/>
      <w:lang w:val="en-US"/>
    </w:rPr>
  </w:style>
  <w:style w:type="paragraph" w:customStyle="1" w:styleId="36">
    <w:name w:val="Head 2"/>
    <w:basedOn w:val="1"/>
    <w:autoRedefine/>
    <w:qFormat/>
    <w:uiPriority w:val="0"/>
    <w:pPr>
      <w:spacing w:line="360" w:lineRule="auto"/>
    </w:pPr>
    <w:rPr>
      <w:i/>
      <w:lang w:val="en-US"/>
    </w:rPr>
  </w:style>
  <w:style w:type="paragraph" w:customStyle="1" w:styleId="37">
    <w:name w:val="dates"/>
    <w:basedOn w:val="1"/>
    <w:qFormat/>
    <w:uiPriority w:val="0"/>
    <w:pPr>
      <w:jc w:val="right"/>
    </w:pPr>
    <w:rPr>
      <w:lang w:val="en-US"/>
    </w:rPr>
  </w:style>
  <w:style w:type="paragraph" w:customStyle="1" w:styleId="38">
    <w:name w:val="Literature"/>
    <w:basedOn w:val="1"/>
    <w:qFormat/>
    <w:uiPriority w:val="0"/>
    <w:pPr>
      <w:spacing w:line="480" w:lineRule="auto"/>
    </w:pPr>
  </w:style>
  <w:style w:type="paragraph" w:customStyle="1" w:styleId="39">
    <w:name w:val="Legend"/>
    <w:basedOn w:val="1"/>
    <w:qFormat/>
    <w:uiPriority w:val="0"/>
    <w:rPr>
      <w:lang w:val="en-US"/>
    </w:rPr>
  </w:style>
  <w:style w:type="paragraph" w:customStyle="1" w:styleId="40">
    <w:name w:val="Main Text"/>
    <w:basedOn w:val="1"/>
    <w:link w:val="44"/>
    <w:qFormat/>
    <w:uiPriority w:val="0"/>
    <w:pPr>
      <w:spacing w:line="480" w:lineRule="auto"/>
    </w:pPr>
    <w:rPr>
      <w:lang w:val="en-US"/>
    </w:rPr>
  </w:style>
  <w:style w:type="paragraph" w:customStyle="1" w:styleId="41">
    <w:name w:val="Table of contents"/>
    <w:basedOn w:val="1"/>
    <w:autoRedefine/>
    <w:qFormat/>
    <w:uiPriority w:val="0"/>
    <w:rPr>
      <w:lang w:val="en-US"/>
    </w:rPr>
  </w:style>
  <w:style w:type="paragraph" w:customStyle="1" w:styleId="42">
    <w:name w:val="Experimental Text"/>
    <w:basedOn w:val="1"/>
    <w:link w:val="43"/>
    <w:qFormat/>
    <w:uiPriority w:val="0"/>
    <w:pPr>
      <w:spacing w:line="480" w:lineRule="auto"/>
    </w:pPr>
    <w:rPr>
      <w:lang w:val="en-US"/>
    </w:rPr>
  </w:style>
  <w:style w:type="character" w:customStyle="1" w:styleId="43">
    <w:name w:val="Experimental Text Char"/>
    <w:link w:val="42"/>
    <w:qFormat/>
    <w:uiPriority w:val="0"/>
    <w:rPr>
      <w:rFonts w:eastAsia="MS Mincho"/>
      <w:sz w:val="24"/>
      <w:szCs w:val="24"/>
      <w:lang w:val="en-US" w:eastAsia="ja-JP" w:bidi="ar-SA"/>
    </w:rPr>
  </w:style>
  <w:style w:type="character" w:customStyle="1" w:styleId="44">
    <w:name w:val="Main Text Char"/>
    <w:link w:val="40"/>
    <w:qFormat/>
    <w:uiPriority w:val="0"/>
    <w:rPr>
      <w:rFonts w:eastAsia="MS Mincho"/>
      <w:sz w:val="24"/>
      <w:szCs w:val="24"/>
      <w:lang w:val="en-US" w:eastAsia="ja-JP" w:bidi="ar-SA"/>
    </w:rPr>
  </w:style>
  <w:style w:type="paragraph" w:customStyle="1" w:styleId="45">
    <w:name w:val="Title2"/>
    <w:basedOn w:val="1"/>
    <w:qFormat/>
    <w:uiPriority w:val="0"/>
    <w:rPr>
      <w:b/>
      <w:lang w:val="en-US"/>
    </w:rPr>
  </w:style>
  <w:style w:type="paragraph" w:customStyle="1" w:styleId="46">
    <w:name w:val="Dedication"/>
    <w:basedOn w:val="1"/>
    <w:autoRedefine/>
    <w:qFormat/>
    <w:uiPriority w:val="0"/>
    <w:rPr>
      <w:lang w:val="en-US"/>
    </w:rPr>
  </w:style>
  <w:style w:type="paragraph" w:customStyle="1" w:styleId="47">
    <w:name w:val="Main text"/>
    <w:basedOn w:val="1"/>
    <w:link w:val="48"/>
    <w:autoRedefine/>
    <w:qFormat/>
    <w:uiPriority w:val="0"/>
    <w:pPr>
      <w:spacing w:line="480" w:lineRule="auto"/>
    </w:pPr>
    <w:rPr>
      <w:lang w:val="en-US"/>
    </w:rPr>
  </w:style>
  <w:style w:type="character" w:customStyle="1" w:styleId="48">
    <w:name w:val="Main text Char"/>
    <w:link w:val="47"/>
    <w:qFormat/>
    <w:uiPriority w:val="0"/>
    <w:rPr>
      <w:sz w:val="24"/>
      <w:szCs w:val="24"/>
      <w:lang w:val="en-US" w:eastAsia="ja-JP"/>
    </w:rPr>
  </w:style>
  <w:style w:type="paragraph" w:customStyle="1" w:styleId="49">
    <w:name w:val="Biography"/>
    <w:basedOn w:val="1"/>
    <w:autoRedefine/>
    <w:qFormat/>
    <w:uiPriority w:val="0"/>
    <w:rPr>
      <w:i/>
      <w:lang w:val="en-US"/>
    </w:rPr>
  </w:style>
  <w:style w:type="character" w:customStyle="1" w:styleId="50">
    <w:name w:val="页眉 字符"/>
    <w:link w:val="6"/>
    <w:qFormat/>
    <w:uiPriority w:val="0"/>
    <w:rPr>
      <w:sz w:val="24"/>
      <w:szCs w:val="24"/>
      <w:lang w:eastAsia="ja-JP"/>
    </w:rPr>
  </w:style>
  <w:style w:type="character" w:customStyle="1" w:styleId="51">
    <w:name w:val="批注文字 字符"/>
    <w:link w:val="3"/>
    <w:qFormat/>
    <w:uiPriority w:val="99"/>
    <w:rPr>
      <w:lang w:eastAsia="ja-JP"/>
    </w:rPr>
  </w:style>
  <w:style w:type="character" w:customStyle="1" w:styleId="52">
    <w:name w:val="批注主题 字符"/>
    <w:link w:val="9"/>
    <w:semiHidden/>
    <w:qFormat/>
    <w:uiPriority w:val="99"/>
    <w:rPr>
      <w:b/>
      <w:bCs/>
      <w:lang w:eastAsia="ja-JP"/>
    </w:rPr>
  </w:style>
  <w:style w:type="character" w:customStyle="1" w:styleId="53">
    <w:name w:val="页脚 字符"/>
    <w:link w:val="5"/>
    <w:qFormat/>
    <w:uiPriority w:val="99"/>
    <w:rPr>
      <w:sz w:val="24"/>
      <w:szCs w:val="24"/>
      <w:lang w:eastAsia="ja-JP"/>
    </w:rPr>
  </w:style>
  <w:style w:type="paragraph" w:customStyle="1" w:styleId="54">
    <w:name w:val="Revision"/>
    <w:hidden/>
    <w:semiHidden/>
    <w:qFormat/>
    <w:uiPriority w:val="99"/>
    <w:rPr>
      <w:rFonts w:ascii="Times New Roman" w:hAnsi="Times New Roman" w:eastAsia="MS Mincho" w:cs="Times New Roman"/>
      <w:sz w:val="24"/>
      <w:szCs w:val="24"/>
      <w:lang w:val="de-DE" w:eastAsia="ja-JP" w:bidi="ar-SA"/>
    </w:rPr>
  </w:style>
  <w:style w:type="character" w:customStyle="1" w:styleId="55">
    <w:name w:val="Unresolved Mention"/>
    <w:basedOn w:val="12"/>
    <w:semiHidden/>
    <w:unhideWhenUsed/>
    <w:qFormat/>
    <w:uiPriority w:val="99"/>
    <w:rPr>
      <w:color w:val="605E5C"/>
      <w:shd w:val="clear" w:color="auto" w:fill="E1DFDD"/>
    </w:rPr>
  </w:style>
  <w:style w:type="paragraph" w:styleId="56">
    <w:name w:val="List Paragraph"/>
    <w:basedOn w:val="1"/>
    <w:autoRedefine/>
    <w:qFormat/>
    <w:uiPriority w:val="34"/>
    <w:pPr>
      <w:spacing w:line="360" w:lineRule="auto"/>
      <w:jc w:val="both"/>
    </w:pPr>
  </w:style>
  <w:style w:type="paragraph" w:customStyle="1" w:styleId="57">
    <w:name w:val="书目1"/>
    <w:basedOn w:val="1"/>
    <w:next w:val="1"/>
    <w:qFormat/>
    <w:uiPriority w:val="37"/>
    <w:pPr>
      <w:widowControl w:val="0"/>
      <w:tabs>
        <w:tab w:val="left" w:pos="384"/>
      </w:tabs>
      <w:ind w:left="384" w:hanging="384"/>
      <w:jc w:val="both"/>
    </w:pPr>
    <w:rPr>
      <w:rFonts w:asciiTheme="minorHAnsi" w:hAnsiTheme="minorHAnsi" w:eastAsiaTheme="minorEastAsia" w:cstheme="minorBidi"/>
      <w:kern w:val="2"/>
      <w:sz w:val="21"/>
      <w:szCs w:val="22"/>
      <w:lang w:val="en-US" w:eastAsia="zh-CN"/>
    </w:rPr>
  </w:style>
  <w:style w:type="paragraph" w:customStyle="1" w:styleId="58">
    <w:name w:val="ng-star-inserted"/>
    <w:basedOn w:val="1"/>
    <w:uiPriority w:val="0"/>
    <w:pPr>
      <w:spacing w:before="100" w:beforeAutospacing="1" w:after="100" w:afterAutospacing="1"/>
    </w:pPr>
    <w:rPr>
      <w:rFonts w:ascii="宋体" w:hAnsi="宋体" w:eastAsia="宋体" w:cs="宋体"/>
      <w:lang w:val="en-US" w:eastAsia="zh-CN"/>
    </w:rPr>
  </w:style>
  <w:style w:type="character" w:customStyle="1" w:styleId="59">
    <w:name w:val="ng-star-inserted1"/>
    <w:basedOn w:val="12"/>
    <w:uiPriority w:val="0"/>
  </w:style>
  <w:style w:type="character" w:customStyle="1" w:styleId="60">
    <w:name w:val="inline-code"/>
    <w:basedOn w:val="12"/>
    <w:qFormat/>
    <w:uiPriority w:val="0"/>
  </w:style>
  <w:style w:type="paragraph" w:customStyle="1" w:styleId="61">
    <w:name w:val="Bibliography"/>
    <w:basedOn w:val="1"/>
    <w:next w:val="1"/>
    <w:unhideWhenUsed/>
    <w:qFormat/>
    <w:uiPriority w:val="37"/>
    <w:pPr>
      <w:tabs>
        <w:tab w:val="left" w:pos="384"/>
      </w:tabs>
      <w:ind w:left="384" w:hanging="384"/>
    </w:pPr>
  </w:style>
</w:styles>
</file>

<file path=word/_rels/document.xml.rels><?xml version="1.0" encoding="UTF-8" standalone="yes"?>
<Relationships xmlns="http://schemas.openxmlformats.org/package/2006/relationships"><Relationship Id="rId9" Type="http://schemas.openxmlformats.org/officeDocument/2006/relationships/image" Target="media/image5.svg"/><Relationship Id="rId8" Type="http://schemas.openxmlformats.org/officeDocument/2006/relationships/image" Target="media/image4.png"/><Relationship Id="rId7" Type="http://schemas.openxmlformats.org/officeDocument/2006/relationships/image" Target="media/image3.svg"/><Relationship Id="rId69" Type="http://schemas.openxmlformats.org/officeDocument/2006/relationships/fontTable" Target="fontTable.xml"/><Relationship Id="rId68" Type="http://schemas.openxmlformats.org/officeDocument/2006/relationships/customXml" Target="../customXml/item4.xml"/><Relationship Id="rId67" Type="http://schemas.openxmlformats.org/officeDocument/2006/relationships/customXml" Target="../customXml/item3.xml"/><Relationship Id="rId66" Type="http://schemas.openxmlformats.org/officeDocument/2006/relationships/customXml" Target="../customXml/item2.xml"/><Relationship Id="rId65" Type="http://schemas.openxmlformats.org/officeDocument/2006/relationships/customXml" Target="../customXml/item1.xml"/><Relationship Id="rId64" Type="http://schemas.openxmlformats.org/officeDocument/2006/relationships/numbering" Target="numbering.xml"/><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2.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svg"/><Relationship Id="rId56" Type="http://schemas.openxmlformats.org/officeDocument/2006/relationships/image" Target="media/image51.png"/><Relationship Id="rId55" Type="http://schemas.openxmlformats.org/officeDocument/2006/relationships/image" Target="media/image50.svg"/><Relationship Id="rId54" Type="http://schemas.openxmlformats.org/officeDocument/2006/relationships/image" Target="media/image49.png"/><Relationship Id="rId53" Type="http://schemas.openxmlformats.org/officeDocument/2006/relationships/image" Target="media/image48.svg"/><Relationship Id="rId52" Type="http://schemas.openxmlformats.org/officeDocument/2006/relationships/image" Target="media/image47.png"/><Relationship Id="rId51" Type="http://schemas.openxmlformats.org/officeDocument/2006/relationships/image" Target="media/image46.emf"/><Relationship Id="rId50" Type="http://schemas.openxmlformats.org/officeDocument/2006/relationships/oleObject" Target="embeddings/oleObject1.bin"/><Relationship Id="rId5" Type="http://schemas.openxmlformats.org/officeDocument/2006/relationships/theme" Target="theme/theme1.xml"/><Relationship Id="rId49" Type="http://schemas.openxmlformats.org/officeDocument/2006/relationships/image" Target="media/image45.svg"/><Relationship Id="rId48" Type="http://schemas.openxmlformats.org/officeDocument/2006/relationships/image" Target="media/image44.png"/><Relationship Id="rId47" Type="http://schemas.openxmlformats.org/officeDocument/2006/relationships/image" Target="media/image43.svg"/><Relationship Id="rId46" Type="http://schemas.openxmlformats.org/officeDocument/2006/relationships/image" Target="media/image42.png"/><Relationship Id="rId45" Type="http://schemas.openxmlformats.org/officeDocument/2006/relationships/image" Target="media/image41.svg"/><Relationship Id="rId44" Type="http://schemas.openxmlformats.org/officeDocument/2006/relationships/image" Target="media/image40.png"/><Relationship Id="rId43" Type="http://schemas.openxmlformats.org/officeDocument/2006/relationships/image" Target="media/image39.sv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sv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svg"/><Relationship Id="rId37" Type="http://schemas.openxmlformats.org/officeDocument/2006/relationships/image" Target="media/image33.png"/><Relationship Id="rId36" Type="http://schemas.openxmlformats.org/officeDocument/2006/relationships/image" Target="media/image32.svg"/><Relationship Id="rId35" Type="http://schemas.openxmlformats.org/officeDocument/2006/relationships/image" Target="media/image31.png"/><Relationship Id="rId34" Type="http://schemas.openxmlformats.org/officeDocument/2006/relationships/image" Target="media/image30.svg"/><Relationship Id="rId33" Type="http://schemas.openxmlformats.org/officeDocument/2006/relationships/image" Target="media/image29.png"/><Relationship Id="rId32" Type="http://schemas.openxmlformats.org/officeDocument/2006/relationships/image" Target="media/image28.svg"/><Relationship Id="rId31" Type="http://schemas.openxmlformats.org/officeDocument/2006/relationships/image" Target="media/image27.png"/><Relationship Id="rId30" Type="http://schemas.openxmlformats.org/officeDocument/2006/relationships/image" Target="media/image26.sv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sv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sv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svg"/><Relationship Id="rId14" Type="http://schemas.openxmlformats.org/officeDocument/2006/relationships/image" Target="media/image10.png"/><Relationship Id="rId13" Type="http://schemas.openxmlformats.org/officeDocument/2006/relationships/image" Target="media/image9.svg"/><Relationship Id="rId12" Type="http://schemas.openxmlformats.org/officeDocument/2006/relationships/image" Target="media/image8.png"/><Relationship Id="rId11" Type="http://schemas.openxmlformats.org/officeDocument/2006/relationships/image" Target="media/image7.sv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96D19C85-73BE-4F5D-979F-58BFDE5BBE12}">
  <ds:schemaRefs/>
</ds:datastoreItem>
</file>

<file path=customXml/itemProps2.xml><?xml version="1.0" encoding="utf-8"?>
<ds:datastoreItem xmlns:ds="http://schemas.openxmlformats.org/officeDocument/2006/customXml" ds:itemID="{75886F76-A765-4714-B899-7AC2DC4334A1}">
  <ds:schemaRefs/>
</ds:datastoreItem>
</file>

<file path=customXml/itemProps3.xml><?xml version="1.0" encoding="utf-8"?>
<ds:datastoreItem xmlns:ds="http://schemas.openxmlformats.org/officeDocument/2006/customXml" ds:itemID="{C86C925C-E763-4769-9959-2FEDA6D7CE8A}">
  <ds:schemaRefs/>
</ds:datastoreItem>
</file>

<file path=customXml/itemProps4.xml><?xml version="1.0" encoding="utf-8"?>
<ds:datastoreItem xmlns:ds="http://schemas.openxmlformats.org/officeDocument/2006/customXml" ds:itemID="{E3F19EBF-8207-4BE7-AD18-240ED1895C11}">
  <ds:schemaRefs/>
</ds:datastoreItem>
</file>

<file path=docProps/app.xml><?xml version="1.0" encoding="utf-8"?>
<Properties xmlns="http://schemas.openxmlformats.org/officeDocument/2006/extended-properties" xmlns:vt="http://schemas.openxmlformats.org/officeDocument/2006/docPropsVTypes">
  <Template>Normal.dotm</Template>
  <Pages>21</Pages>
  <Words>2305</Words>
  <Characters>12521</Characters>
  <Lines>220</Lines>
  <Paragraphs>61</Paragraphs>
  <TotalTime>83</TotalTime>
  <ScaleCrop>false</ScaleCrop>
  <LinksUpToDate>false</LinksUpToDate>
  <CharactersWithSpaces>14657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2025-07-01T06:58:00Z</dcterms:created>
  <dc:creator>Göbel, Uta</dc:creator>
  <cp:lastModifiedBy>Anderson</cp:lastModifiedBy>
  <cp:lastPrinted>2025-05-07T12:13:00Z</cp:lastPrinted>
  <dcterms:modified xsi:type="dcterms:W3CDTF">2025-07-04T05:45:02Z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ZOTERO_PREF_1">
    <vt:lpwstr>&lt;data data-version="3" zotero-version="7.0.19"&gt;&lt;session id="HbHiyyTj"/&gt;&lt;style id="http://www.zotero.org/styles/advanced-materials" hasBibliography="1" bibliographyStyleHasBeenSet="1"/&gt;&lt;prefs&gt;&lt;pref name="fieldType" value="Field"/&gt;&lt;/prefs&gt;&lt;/data&gt;</vt:lpwstr>
  </property>
  <property fmtid="{D5CDD505-2E9C-101B-9397-08002B2CF9AE}" pid="4" name="KSOTemplateDocerSaveRecord">
    <vt:lpwstr>eyJoZGlkIjoiMjZkNjRiYTllNzJlZTk1MGU1ODFhNzY3ZTVjZGQ4YTYiLCJ1c2VySWQiOiIzODM2NDQwMTMifQ==</vt:lpwstr>
  </property>
  <property fmtid="{D5CDD505-2E9C-101B-9397-08002B2CF9AE}" pid="5" name="KSOProductBuildVer">
    <vt:lpwstr>2052-12.1.0.21915</vt:lpwstr>
  </property>
  <property fmtid="{D5CDD505-2E9C-101B-9397-08002B2CF9AE}" pid="6" name="ICV">
    <vt:lpwstr>C1EFF6FC08274D55A44EF4D5BBA4F970_12</vt:lpwstr>
  </property>
</Properties>
</file>