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5D49E" w14:textId="77777777" w:rsidR="00AB3126" w:rsidRPr="00E015C2" w:rsidRDefault="00AB3126" w:rsidP="00555B75">
      <w:pPr>
        <w:spacing w:line="360" w:lineRule="auto"/>
        <w:jc w:val="both"/>
        <w:rPr>
          <w:color w:val="FF0000"/>
          <w:lang w:val="en-US"/>
        </w:rPr>
      </w:pPr>
    </w:p>
    <w:p w14:paraId="54B39213" w14:textId="5565F96A" w:rsidR="00617F7F" w:rsidRPr="0019723B" w:rsidRDefault="006A5265" w:rsidP="00555B75">
      <w:pPr>
        <w:pStyle w:val="Title2"/>
        <w:spacing w:line="360" w:lineRule="auto"/>
        <w:jc w:val="both"/>
        <w:rPr>
          <w:b w:val="0"/>
          <w:sz w:val="32"/>
          <w:szCs w:val="32"/>
        </w:rPr>
      </w:pPr>
      <w:bookmarkStart w:id="0" w:name="_Hlk159073930"/>
      <w:r>
        <w:rPr>
          <w:rFonts w:eastAsia="宋体"/>
          <w:b w:val="0"/>
          <w:bCs/>
          <w:sz w:val="32"/>
          <w:szCs w:val="32"/>
          <w:lang w:eastAsia="en-US"/>
        </w:rPr>
        <w:t>Supplementary</w:t>
      </w:r>
      <w:bookmarkEnd w:id="0"/>
      <w:r>
        <w:rPr>
          <w:rFonts w:eastAsia="宋体"/>
          <w:b w:val="0"/>
          <w:bCs/>
          <w:sz w:val="32"/>
          <w:szCs w:val="32"/>
          <w:lang w:eastAsia="en-US"/>
        </w:rPr>
        <w:t xml:space="preserve"> materials</w:t>
      </w:r>
      <w:r w:rsidR="00617F7F" w:rsidRPr="0019723B">
        <w:rPr>
          <w:b w:val="0"/>
          <w:sz w:val="32"/>
          <w:szCs w:val="32"/>
        </w:rPr>
        <w:t xml:space="preserve"> </w:t>
      </w:r>
    </w:p>
    <w:p w14:paraId="4963706A" w14:textId="77777777" w:rsidR="00617F7F" w:rsidRPr="0019723B" w:rsidRDefault="00617F7F" w:rsidP="00555B75">
      <w:pPr>
        <w:pStyle w:val="Tableofcontents"/>
        <w:spacing w:line="360" w:lineRule="auto"/>
        <w:jc w:val="both"/>
      </w:pPr>
    </w:p>
    <w:p w14:paraId="03798148" w14:textId="77777777" w:rsidR="00AB3126" w:rsidRPr="00E34E5D" w:rsidRDefault="00AB3126" w:rsidP="00555B75">
      <w:pPr>
        <w:pStyle w:val="Tableofcontents"/>
        <w:spacing w:line="360" w:lineRule="auto"/>
        <w:jc w:val="both"/>
        <w:rPr>
          <w:b/>
        </w:rPr>
      </w:pPr>
      <w:r w:rsidRPr="00E34E5D">
        <w:rPr>
          <w:b/>
        </w:rPr>
        <w:t>Identifying ultrathin dielectric nanosheets induced interface polarization for high-performance solid-state lithium metal batteries</w:t>
      </w:r>
    </w:p>
    <w:p w14:paraId="4F7BE055" w14:textId="77777777" w:rsidR="006A5265" w:rsidRPr="00D1395B" w:rsidRDefault="006A5265" w:rsidP="00555B75">
      <w:pPr>
        <w:spacing w:line="360" w:lineRule="auto"/>
        <w:jc w:val="both"/>
        <w:rPr>
          <w:b/>
          <w:bCs/>
          <w:color w:val="000000"/>
          <w:lang w:val="en-US"/>
        </w:rPr>
      </w:pPr>
    </w:p>
    <w:p w14:paraId="671D271C" w14:textId="62FAEDA6" w:rsidR="00AB3126" w:rsidRPr="00AB3126" w:rsidRDefault="00AB3126" w:rsidP="00555B75">
      <w:pPr>
        <w:spacing w:line="360" w:lineRule="auto"/>
        <w:jc w:val="both"/>
        <w:rPr>
          <w:b/>
          <w:bCs/>
          <w:color w:val="000000"/>
        </w:rPr>
      </w:pPr>
      <w:r w:rsidRPr="00AB3126">
        <w:rPr>
          <w:b/>
          <w:bCs/>
          <w:color w:val="000000"/>
        </w:rPr>
        <w:t>Experimental</w:t>
      </w:r>
      <w:r>
        <w:rPr>
          <w:b/>
          <w:bCs/>
          <w:color w:val="000000"/>
        </w:rPr>
        <w:t xml:space="preserve"> </w:t>
      </w:r>
      <w:r w:rsidRPr="00AB3126">
        <w:rPr>
          <w:b/>
          <w:bCs/>
          <w:color w:val="000000"/>
        </w:rPr>
        <w:t>Section</w:t>
      </w:r>
    </w:p>
    <w:p w14:paraId="51EC0F88" w14:textId="77777777" w:rsidR="00AB3126" w:rsidRPr="00AB3126" w:rsidRDefault="00AB3126" w:rsidP="00555B75">
      <w:pPr>
        <w:spacing w:line="360" w:lineRule="auto"/>
        <w:jc w:val="both"/>
        <w:rPr>
          <w:b/>
          <w:bCs/>
          <w:lang w:val="en-US"/>
        </w:rPr>
      </w:pPr>
      <w:bookmarkStart w:id="1" w:name="OLE_LINK9"/>
      <w:r w:rsidRPr="00AB3126">
        <w:rPr>
          <w:b/>
          <w:bCs/>
          <w:lang w:val="en-US"/>
        </w:rPr>
        <w:t>Synthesis</w:t>
      </w:r>
      <w:bookmarkEnd w:id="1"/>
      <w:r w:rsidRPr="00AB3126">
        <w:rPr>
          <w:b/>
          <w:bCs/>
          <w:lang w:val="en-US"/>
        </w:rPr>
        <w:t xml:space="preserve"> of CNO Nanosheets</w:t>
      </w:r>
    </w:p>
    <w:p w14:paraId="681CBFDA" w14:textId="02758AC1" w:rsidR="00AB3126" w:rsidRPr="00AB3126" w:rsidRDefault="00AB3126" w:rsidP="00323233">
      <w:pPr>
        <w:spacing w:line="360" w:lineRule="auto"/>
        <w:ind w:firstLineChars="100" w:firstLine="240"/>
        <w:jc w:val="both"/>
        <w:rPr>
          <w:lang w:val="en-US"/>
        </w:rPr>
      </w:pPr>
      <w:r w:rsidRPr="00AB3126">
        <w:rPr>
          <w:lang w:val="en-US"/>
        </w:rPr>
        <w:t>CNO monolayer nanosheet</w:t>
      </w:r>
      <w:r w:rsidRPr="00AB3126">
        <w:rPr>
          <w:rFonts w:hint="eastAsia"/>
          <w:lang w:val="en-US"/>
        </w:rPr>
        <w:t>s</w:t>
      </w:r>
      <w:r w:rsidRPr="00AB3126">
        <w:rPr>
          <w:lang w:val="en-US"/>
        </w:rPr>
        <w:t xml:space="preserve"> w</w:t>
      </w:r>
      <w:r w:rsidRPr="00AB3126">
        <w:rPr>
          <w:rFonts w:hint="eastAsia"/>
          <w:lang w:val="en-US"/>
        </w:rPr>
        <w:t>ere</w:t>
      </w:r>
      <w:r w:rsidRPr="00AB3126">
        <w:rPr>
          <w:lang w:val="en-US"/>
        </w:rPr>
        <w:t xml:space="preserve"> prepared according to the previously reported method of exfoliating layered perovskites</w:t>
      </w:r>
      <w:r w:rsidRPr="00AB3126">
        <w:rPr>
          <w:lang w:val="en-US"/>
        </w:rPr>
        <w:fldChar w:fldCharType="begin"/>
      </w:r>
      <w:r w:rsidR="00540F7B">
        <w:rPr>
          <w:lang w:val="en-US"/>
        </w:rPr>
        <w:instrText xml:space="preserve"> ADDIN EN.CITE &lt;EndNote&gt;&lt;Cite&gt;&lt;Author&gt;Ebina&lt;/Author&gt;&lt;Year&gt;2002&lt;/Year&gt;&lt;RecNum&gt;72&lt;/RecNum&gt;&lt;DisplayText&gt;[1]&lt;/DisplayText&gt;&lt;record&gt;&lt;rec-number&gt;72&lt;/rec-number&gt;&lt;foreign-keys&gt;&lt;key app="EN" db-id="af9xpxwsdsptfqe05piva59vsdx9xrf0pxxw" timestamp="0"&gt;72&lt;/key&gt;&lt;/foreign-keys&gt;&lt;ref-type name="Journal Article"&gt;17&lt;/ref-type&gt;&lt;contributors&gt;&lt;authors&gt;&lt;author&gt;Ebina, Y. &lt;/author&gt;&lt;author&gt;Sasaki, T.&lt;/author&gt;&lt;author&gt;Watanabe, M.&lt;/author&gt;&lt;/authors&gt;&lt;/contributors&gt;&lt;titles&gt;&lt;title&gt;Study on exfoliation of layered perovskite-type niobates&lt;/title&gt;&lt;secondary-title&gt;Solid State Ion.&lt;/secondary-title&gt;&lt;/titles&gt;&lt;pages&gt;177-182&lt;/pages&gt;&lt;volume&gt;151&lt;/volume&gt;&lt;number&gt;1&lt;/number&gt;&lt;dates&gt;&lt;year&gt;2002&lt;/year&gt;&lt;/dates&gt;&lt;urls&gt;&lt;/urls&gt;&lt;/record&gt;&lt;/Cite&gt;&lt;/EndNote&gt;</w:instrText>
      </w:r>
      <w:r w:rsidRPr="00AB3126">
        <w:rPr>
          <w:lang w:val="en-US"/>
        </w:rPr>
        <w:fldChar w:fldCharType="separate"/>
      </w:r>
      <w:r w:rsidR="00540F7B">
        <w:rPr>
          <w:noProof/>
          <w:lang w:val="en-US"/>
        </w:rPr>
        <w:t>[1]</w:t>
      </w:r>
      <w:r w:rsidRPr="00AB3126">
        <w:rPr>
          <w:lang w:val="en-US"/>
        </w:rPr>
        <w:fldChar w:fldCharType="end"/>
      </w:r>
      <w:r w:rsidR="00AF60A4">
        <w:rPr>
          <w:rFonts w:asciiTheme="minorEastAsia" w:eastAsiaTheme="minorEastAsia" w:hAnsiTheme="minorEastAsia" w:hint="eastAsia"/>
          <w:lang w:val="en-US" w:eastAsia="zh-CN"/>
        </w:rPr>
        <w:t>.</w:t>
      </w:r>
      <w:r w:rsidRPr="00AB3126">
        <w:rPr>
          <w:rFonts w:hint="eastAsia"/>
          <w:lang w:val="en-US"/>
        </w:rPr>
        <w:t xml:space="preserve"> </w:t>
      </w:r>
      <w:r w:rsidRPr="00AB3126">
        <w:rPr>
          <w:lang w:val="en-US"/>
        </w:rPr>
        <w:t>The detailed preparation process is as following: KCa</w:t>
      </w:r>
      <w:r w:rsidRPr="00AB3126">
        <w:rPr>
          <w:vertAlign w:val="subscript"/>
          <w:lang w:val="en-US"/>
        </w:rPr>
        <w:t>2</w:t>
      </w:r>
      <w:r w:rsidRPr="00AB3126">
        <w:rPr>
          <w:lang w:val="en-US"/>
        </w:rPr>
        <w:t>Nb</w:t>
      </w:r>
      <w:r w:rsidRPr="00AB3126">
        <w:rPr>
          <w:vertAlign w:val="subscript"/>
          <w:lang w:val="en-US"/>
        </w:rPr>
        <w:t>3</w:t>
      </w:r>
      <w:r w:rsidRPr="00AB3126">
        <w:rPr>
          <w:lang w:val="en-US"/>
        </w:rPr>
        <w:t>O</w:t>
      </w:r>
      <w:r w:rsidRPr="00AB3126">
        <w:rPr>
          <w:vertAlign w:val="subscript"/>
          <w:lang w:val="en-US"/>
        </w:rPr>
        <w:t>10</w:t>
      </w:r>
      <w:r w:rsidRPr="00AB3126">
        <w:rPr>
          <w:lang w:val="en-US"/>
        </w:rPr>
        <w:t xml:space="preserve"> is prepared by solid-phase reaction among K</w:t>
      </w:r>
      <w:r w:rsidRPr="00AB3126">
        <w:rPr>
          <w:vertAlign w:val="subscript"/>
          <w:lang w:val="en-US"/>
        </w:rPr>
        <w:t>2</w:t>
      </w:r>
      <w:r w:rsidRPr="00AB3126">
        <w:rPr>
          <w:lang w:val="en-US"/>
        </w:rPr>
        <w:t>CO</w:t>
      </w:r>
      <w:r w:rsidRPr="00AB3126">
        <w:rPr>
          <w:vertAlign w:val="subscript"/>
          <w:lang w:val="en-US"/>
        </w:rPr>
        <w:t>3</w:t>
      </w:r>
      <w:r w:rsidRPr="00AB3126">
        <w:rPr>
          <w:lang w:val="en-US"/>
        </w:rPr>
        <w:t>, CaCO</w:t>
      </w:r>
      <w:r w:rsidRPr="00AB3126">
        <w:rPr>
          <w:vertAlign w:val="subscript"/>
          <w:lang w:val="en-US"/>
        </w:rPr>
        <w:t>3</w:t>
      </w:r>
      <w:r w:rsidRPr="00AB3126">
        <w:rPr>
          <w:lang w:val="en-US"/>
        </w:rPr>
        <w:t xml:space="preserve"> and Nb</w:t>
      </w:r>
      <w:r w:rsidRPr="00AB3126">
        <w:rPr>
          <w:vertAlign w:val="subscript"/>
          <w:lang w:val="en-US"/>
        </w:rPr>
        <w:t>2</w:t>
      </w:r>
      <w:r w:rsidRPr="00AB3126">
        <w:rPr>
          <w:lang w:val="en-US"/>
        </w:rPr>
        <w:t>O</w:t>
      </w:r>
      <w:r w:rsidRPr="00AB3126">
        <w:rPr>
          <w:vertAlign w:val="subscript"/>
          <w:lang w:val="en-US"/>
        </w:rPr>
        <w:t>5</w:t>
      </w:r>
      <w:r w:rsidRPr="00AB3126">
        <w:rPr>
          <w:lang w:val="en-US"/>
        </w:rPr>
        <w:t>, and then converted the product into HCa</w:t>
      </w:r>
      <w:r w:rsidRPr="00AB3126">
        <w:rPr>
          <w:vertAlign w:val="subscript"/>
          <w:lang w:val="en-US"/>
        </w:rPr>
        <w:t>2</w:t>
      </w:r>
      <w:r w:rsidRPr="00AB3126">
        <w:rPr>
          <w:lang w:val="en-US"/>
        </w:rPr>
        <w:t>Nb</w:t>
      </w:r>
      <w:r w:rsidRPr="00AB3126">
        <w:rPr>
          <w:vertAlign w:val="subscript"/>
          <w:lang w:val="en-US"/>
        </w:rPr>
        <w:t>3</w:t>
      </w:r>
      <w:r w:rsidRPr="00AB3126">
        <w:rPr>
          <w:lang w:val="en-US"/>
        </w:rPr>
        <w:t>O</w:t>
      </w:r>
      <w:r w:rsidRPr="00AB3126">
        <w:rPr>
          <w:vertAlign w:val="subscript"/>
          <w:lang w:val="en-US"/>
        </w:rPr>
        <w:t>10</w:t>
      </w:r>
      <w:r w:rsidRPr="00AB3126">
        <w:rPr>
          <w:lang w:val="en-US"/>
        </w:rPr>
        <w:t>·1.5H</w:t>
      </w:r>
      <w:r w:rsidRPr="00AB3126">
        <w:rPr>
          <w:vertAlign w:val="subscript"/>
          <w:lang w:val="en-US"/>
        </w:rPr>
        <w:t>2</w:t>
      </w:r>
      <w:r w:rsidRPr="00AB3126">
        <w:rPr>
          <w:lang w:val="en-US"/>
        </w:rPr>
        <w:t>O in nitric acid solution. Finally, monolayer nanosheets can be obtained by exfoliation in tetrabutylammonium hydroxide (TBAOH) aqueous solution.</w:t>
      </w:r>
    </w:p>
    <w:p w14:paraId="31F8FA2B" w14:textId="77777777" w:rsidR="00AB3126" w:rsidRPr="00AB3126" w:rsidRDefault="00AB3126" w:rsidP="00555B75">
      <w:pPr>
        <w:spacing w:line="360" w:lineRule="auto"/>
        <w:jc w:val="both"/>
        <w:rPr>
          <w:lang w:val="en-US"/>
        </w:rPr>
      </w:pPr>
    </w:p>
    <w:p w14:paraId="37A213A5" w14:textId="77777777" w:rsidR="00AB3126" w:rsidRPr="00AB3126" w:rsidRDefault="00AB3126" w:rsidP="00555B75">
      <w:pPr>
        <w:spacing w:line="360" w:lineRule="auto"/>
        <w:jc w:val="both"/>
        <w:rPr>
          <w:b/>
          <w:bCs/>
          <w:lang w:val="en-US"/>
        </w:rPr>
      </w:pPr>
      <w:r w:rsidRPr="00AB3126">
        <w:rPr>
          <w:b/>
          <w:bCs/>
          <w:lang w:val="en-US"/>
        </w:rPr>
        <w:t xml:space="preserve">Preparation of </w:t>
      </w:r>
      <w:r w:rsidRPr="00AB3126">
        <w:rPr>
          <w:rFonts w:hint="eastAsia"/>
          <w:b/>
          <w:bCs/>
          <w:lang w:val="en-US"/>
        </w:rPr>
        <w:t>CSPE</w:t>
      </w:r>
      <w:r w:rsidRPr="00AB3126">
        <w:rPr>
          <w:b/>
          <w:bCs/>
          <w:lang w:val="en-US"/>
        </w:rPr>
        <w:t xml:space="preserve"> and SPE film</w:t>
      </w:r>
    </w:p>
    <w:p w14:paraId="5FD87A7B" w14:textId="77777777" w:rsidR="00AB3126" w:rsidRPr="00AB3126" w:rsidRDefault="00AB3126" w:rsidP="00323233">
      <w:pPr>
        <w:spacing w:line="360" w:lineRule="auto"/>
        <w:ind w:firstLineChars="100" w:firstLine="240"/>
        <w:jc w:val="both"/>
        <w:rPr>
          <w:lang w:val="en-US"/>
        </w:rPr>
      </w:pPr>
      <w:r w:rsidRPr="00AB3126">
        <w:rPr>
          <w:lang w:val="en-US"/>
        </w:rPr>
        <w:t xml:space="preserve">The </w:t>
      </w:r>
      <w:r w:rsidRPr="00AB3126">
        <w:rPr>
          <w:rFonts w:hint="eastAsia"/>
          <w:lang w:val="en-US"/>
        </w:rPr>
        <w:t xml:space="preserve">SPE and </w:t>
      </w:r>
      <w:r w:rsidRPr="00AB3126">
        <w:rPr>
          <w:lang w:val="en-US"/>
        </w:rPr>
        <w:t xml:space="preserve">SPE with CNO </w:t>
      </w:r>
      <w:r w:rsidRPr="00AB3126">
        <w:rPr>
          <w:rFonts w:hint="eastAsia"/>
          <w:lang w:val="en-US"/>
        </w:rPr>
        <w:t>fillers</w:t>
      </w:r>
      <w:r w:rsidRPr="00AB3126">
        <w:rPr>
          <w:lang w:val="en-US"/>
        </w:rPr>
        <w:t xml:space="preserve"> </w:t>
      </w:r>
      <w:r w:rsidRPr="00AB3126">
        <w:rPr>
          <w:rFonts w:hint="eastAsia"/>
          <w:lang w:val="en-US"/>
        </w:rPr>
        <w:t>are</w:t>
      </w:r>
      <w:r w:rsidRPr="00AB3126">
        <w:rPr>
          <w:lang w:val="en-US"/>
        </w:rPr>
        <w:t xml:space="preserve"> </w:t>
      </w:r>
      <w:r w:rsidRPr="00AB3126">
        <w:rPr>
          <w:rFonts w:hint="eastAsia"/>
          <w:lang w:val="en-US"/>
        </w:rPr>
        <w:t>obtain</w:t>
      </w:r>
      <w:r w:rsidRPr="00AB3126">
        <w:rPr>
          <w:lang w:val="en-US"/>
        </w:rPr>
        <w:t xml:space="preserve">ed by </w:t>
      </w:r>
      <w:r w:rsidRPr="00AB3126">
        <w:rPr>
          <w:rFonts w:hint="eastAsia"/>
          <w:lang w:val="en-US"/>
        </w:rPr>
        <w:t xml:space="preserve">the </w:t>
      </w:r>
      <w:r w:rsidRPr="00AB3126">
        <w:rPr>
          <w:lang w:val="en-US"/>
        </w:rPr>
        <w:t>solvent-casting method</w:t>
      </w:r>
      <w:r w:rsidRPr="00AB3126">
        <w:rPr>
          <w:rFonts w:hint="eastAsia"/>
          <w:lang w:val="en-US"/>
        </w:rPr>
        <w:t>.</w:t>
      </w:r>
      <w:r w:rsidRPr="00AB3126">
        <w:rPr>
          <w:lang w:val="en-US"/>
        </w:rPr>
        <w:t xml:space="preserve"> For the CSPE with CNO monolayer nanosheets, the different content</w:t>
      </w:r>
      <w:r w:rsidRPr="00AB3126">
        <w:rPr>
          <w:rFonts w:hint="eastAsia"/>
          <w:lang w:val="en-US"/>
        </w:rPr>
        <w:t>s of</w:t>
      </w:r>
      <w:r w:rsidRPr="00AB3126">
        <w:rPr>
          <w:lang w:val="en-US"/>
        </w:rPr>
        <w:t xml:space="preserve"> as-prepared CNO</w:t>
      </w:r>
      <w:r w:rsidRPr="00AB3126">
        <w:rPr>
          <w:rFonts w:hint="eastAsia"/>
          <w:lang w:val="en-US"/>
        </w:rPr>
        <w:t xml:space="preserve"> were </w:t>
      </w:r>
      <w:r w:rsidRPr="00AB3126">
        <w:rPr>
          <w:lang w:val="en-US"/>
        </w:rPr>
        <w:t>dispersed</w:t>
      </w:r>
      <w:r w:rsidRPr="00AB3126">
        <w:rPr>
          <w:rFonts w:hint="eastAsia"/>
          <w:lang w:val="en-US"/>
        </w:rPr>
        <w:t xml:space="preserve"> in </w:t>
      </w:r>
      <w:r w:rsidRPr="00AB3126">
        <w:rPr>
          <w:lang w:val="en-US"/>
        </w:rPr>
        <w:t xml:space="preserve">anhydrous acetonitrile, </w:t>
      </w:r>
      <w:r w:rsidRPr="00AB3126">
        <w:rPr>
          <w:rFonts w:hint="eastAsia"/>
          <w:lang w:val="en-US"/>
        </w:rPr>
        <w:t xml:space="preserve">while </w:t>
      </w:r>
      <w:proofErr w:type="spellStart"/>
      <w:r w:rsidRPr="00AB3126">
        <w:rPr>
          <w:lang w:val="en-US"/>
        </w:rPr>
        <w:t>LiTFSI</w:t>
      </w:r>
      <w:proofErr w:type="spellEnd"/>
      <w:r w:rsidRPr="00AB3126">
        <w:rPr>
          <w:rFonts w:hint="eastAsia"/>
          <w:lang w:val="en-US"/>
        </w:rPr>
        <w:t xml:space="preserve"> </w:t>
      </w:r>
      <w:r w:rsidRPr="00AB3126">
        <w:rPr>
          <w:lang w:val="en-US"/>
        </w:rPr>
        <w:t>(99.5%, Aladdin)</w:t>
      </w:r>
      <w:r w:rsidRPr="00AB3126">
        <w:rPr>
          <w:rFonts w:hint="eastAsia"/>
          <w:lang w:val="en-US"/>
        </w:rPr>
        <w:t xml:space="preserve"> and</w:t>
      </w:r>
      <w:r w:rsidRPr="00AB3126">
        <w:rPr>
          <w:lang w:val="en-US"/>
        </w:rPr>
        <w:t xml:space="preserve"> PEO</w:t>
      </w:r>
      <w:r w:rsidRPr="00AB3126">
        <w:rPr>
          <w:rFonts w:hint="eastAsia"/>
          <w:lang w:val="en-US"/>
        </w:rPr>
        <w:t xml:space="preserve"> </w:t>
      </w:r>
      <w:r w:rsidRPr="00AB3126">
        <w:rPr>
          <w:lang w:val="en-US"/>
        </w:rPr>
        <w:t>(M</w:t>
      </w:r>
      <w:r w:rsidRPr="00AB3126">
        <w:rPr>
          <w:vertAlign w:val="subscript"/>
          <w:lang w:val="en-US"/>
        </w:rPr>
        <w:t>w</w:t>
      </w:r>
      <w:r w:rsidRPr="00AB3126">
        <w:rPr>
          <w:lang w:val="en-US"/>
        </w:rPr>
        <w:t>=600000,</w:t>
      </w:r>
      <w:r w:rsidRPr="00AB3126">
        <w:rPr>
          <w:rFonts w:hint="eastAsia"/>
          <w:lang w:val="en-US"/>
        </w:rPr>
        <w:t xml:space="preserve"> </w:t>
      </w:r>
      <w:r w:rsidRPr="00AB3126">
        <w:rPr>
          <w:lang w:val="en-US"/>
        </w:rPr>
        <w:t xml:space="preserve">Sigma Aldrich) were </w:t>
      </w:r>
      <w:r w:rsidRPr="00AB3126">
        <w:rPr>
          <w:rFonts w:hint="eastAsia"/>
          <w:lang w:val="en-US"/>
        </w:rPr>
        <w:t xml:space="preserve">also </w:t>
      </w:r>
      <w:r w:rsidRPr="00AB3126">
        <w:rPr>
          <w:lang w:val="en-US"/>
        </w:rPr>
        <w:t>dispersed in another anhydrous acetonitrile</w:t>
      </w:r>
      <w:r w:rsidRPr="00AB3126">
        <w:rPr>
          <w:rFonts w:hint="eastAsia"/>
          <w:lang w:val="en-US"/>
        </w:rPr>
        <w:t>,</w:t>
      </w:r>
      <w:r w:rsidRPr="00AB3126">
        <w:rPr>
          <w:lang w:val="en-US"/>
        </w:rPr>
        <w:t xml:space="preserve"> </w:t>
      </w:r>
      <w:r w:rsidRPr="00AB3126">
        <w:rPr>
          <w:rFonts w:hint="eastAsia"/>
          <w:lang w:val="en-US"/>
        </w:rPr>
        <w:t>then</w:t>
      </w:r>
      <w:r w:rsidRPr="00AB3126">
        <w:rPr>
          <w:lang w:val="en-US"/>
        </w:rPr>
        <w:t xml:space="preserve"> </w:t>
      </w:r>
      <w:r w:rsidRPr="00AB3126">
        <w:rPr>
          <w:rFonts w:hint="eastAsia"/>
          <w:lang w:val="en-US"/>
        </w:rPr>
        <w:t>m</w:t>
      </w:r>
      <w:r w:rsidRPr="00AB3126">
        <w:rPr>
          <w:lang w:val="en-US"/>
        </w:rPr>
        <w:t>ix two solutions into a homogeneous solution</w:t>
      </w:r>
      <w:r w:rsidRPr="00AB3126">
        <w:rPr>
          <w:rFonts w:hint="eastAsia"/>
          <w:lang w:val="en-US"/>
        </w:rPr>
        <w:t xml:space="preserve"> under</w:t>
      </w:r>
      <w:r w:rsidRPr="00AB3126">
        <w:rPr>
          <w:lang w:val="en-US"/>
        </w:rPr>
        <w:t xml:space="preserve"> fully stirring for 12 h at 60 °C in the glove box (keep the molar ratio of EO to Li</w:t>
      </w:r>
      <w:r w:rsidRPr="00AB3126">
        <w:rPr>
          <w:vertAlign w:val="superscript"/>
          <w:lang w:val="en-US"/>
        </w:rPr>
        <w:t>+</w:t>
      </w:r>
      <w:r w:rsidRPr="00AB3126">
        <w:rPr>
          <w:lang w:val="en-US"/>
        </w:rPr>
        <w:t xml:space="preserve"> at 8:1).</w:t>
      </w:r>
      <w:r w:rsidRPr="00AB3126">
        <w:rPr>
          <w:rFonts w:hint="eastAsia"/>
          <w:lang w:val="en-US"/>
        </w:rPr>
        <w:t xml:space="preserve"> Finally, t</w:t>
      </w:r>
      <w:r w:rsidRPr="00AB3126">
        <w:rPr>
          <w:lang w:val="en-US"/>
        </w:rPr>
        <w:t xml:space="preserve">he homogeneous solution was poured into a polytetrafluoroethylene mold, then dried at 60 °C for 12 h under vacuum to obtain the CSPE with </w:t>
      </w:r>
      <w:r w:rsidRPr="00AB3126">
        <w:rPr>
          <w:rFonts w:hint="eastAsia"/>
          <w:lang w:val="en-US"/>
        </w:rPr>
        <w:t xml:space="preserve">different content of </w:t>
      </w:r>
      <w:r w:rsidRPr="00AB3126">
        <w:rPr>
          <w:lang w:val="en-US"/>
        </w:rPr>
        <w:t>CNO</w:t>
      </w:r>
      <w:r w:rsidRPr="00AB3126">
        <w:rPr>
          <w:rFonts w:hint="eastAsia"/>
          <w:lang w:val="en-US"/>
        </w:rPr>
        <w:t xml:space="preserve">. </w:t>
      </w:r>
      <w:r w:rsidRPr="00AB3126">
        <w:rPr>
          <w:lang w:val="en-US"/>
        </w:rPr>
        <w:t>The CNO-free SPE film w</w:t>
      </w:r>
      <w:r w:rsidRPr="00AB3126">
        <w:rPr>
          <w:rFonts w:hint="eastAsia"/>
          <w:lang w:val="en-US"/>
        </w:rPr>
        <w:t>as</w:t>
      </w:r>
      <w:r w:rsidRPr="00AB3126">
        <w:rPr>
          <w:lang w:val="en-US"/>
        </w:rPr>
        <w:t xml:space="preserve"> prepared by a similar method as described above without fillers. The PLCN electrolyte for room temperature test was prepared using ultrathin porous membrane (5 µm polyethylene separator, CHONGQING YUTIANHUA CO., Ltd.) as interlayer to enhanced mechanical properties.</w:t>
      </w:r>
    </w:p>
    <w:p w14:paraId="0EDF9CD9" w14:textId="77777777" w:rsidR="00AB3126" w:rsidRPr="00AB3126" w:rsidRDefault="00AB3126" w:rsidP="00555B75">
      <w:pPr>
        <w:spacing w:line="360" w:lineRule="auto"/>
        <w:jc w:val="both"/>
        <w:rPr>
          <w:lang w:val="en-US"/>
        </w:rPr>
      </w:pPr>
    </w:p>
    <w:p w14:paraId="3390F458" w14:textId="77777777" w:rsidR="00AB3126" w:rsidRPr="00AB3126" w:rsidRDefault="00AB3126" w:rsidP="00555B75">
      <w:pPr>
        <w:spacing w:line="360" w:lineRule="auto"/>
        <w:jc w:val="both"/>
        <w:rPr>
          <w:b/>
          <w:bCs/>
          <w:lang w:val="en-US"/>
        </w:rPr>
      </w:pPr>
      <w:r w:rsidRPr="00AB3126">
        <w:rPr>
          <w:b/>
          <w:bCs/>
          <w:lang w:val="en-US"/>
        </w:rPr>
        <w:t>Materials characterization</w:t>
      </w:r>
    </w:p>
    <w:p w14:paraId="5AFAA0B2" w14:textId="77777777" w:rsidR="00AB3126" w:rsidRPr="00AB3126" w:rsidRDefault="00AB3126" w:rsidP="00323233">
      <w:pPr>
        <w:spacing w:line="360" w:lineRule="auto"/>
        <w:ind w:firstLineChars="100" w:firstLine="240"/>
        <w:jc w:val="both"/>
        <w:rPr>
          <w:lang w:val="en-US"/>
        </w:rPr>
      </w:pPr>
      <w:r w:rsidRPr="00AB3126">
        <w:rPr>
          <w:lang w:val="en-US"/>
        </w:rPr>
        <w:t>Field emission scanning electron microscopy (FSEM, JEOL JSM-7100F), transmission electron microscopy and HRTEM (TEM, Talos F200S) were used to observe the morphology of the CNO samples and electrolytes. Elemental mapping was conducted on an energy-dispersive X-ray spectroscopy (EDS) for analyzing the element of samples. Atomic force microscopy (AFM,</w:t>
      </w:r>
      <w:r w:rsidRPr="00AB3126">
        <w:rPr>
          <w:rFonts w:hint="eastAsia"/>
          <w:lang w:val="en-US"/>
        </w:rPr>
        <w:t xml:space="preserve"> </w:t>
      </w:r>
      <w:r w:rsidRPr="00AB3126">
        <w:rPr>
          <w:lang w:val="en-US"/>
        </w:rPr>
        <w:t xml:space="preserve">DI </w:t>
      </w:r>
      <w:proofErr w:type="spellStart"/>
      <w:r w:rsidRPr="00AB3126">
        <w:rPr>
          <w:lang w:val="en-US"/>
        </w:rPr>
        <w:t>Nanoscope</w:t>
      </w:r>
      <w:proofErr w:type="spellEnd"/>
      <w:r w:rsidRPr="00AB3126">
        <w:rPr>
          <w:lang w:val="en-US"/>
        </w:rPr>
        <w:t xml:space="preserve">) was carried out to analyze the morphology and thickness of </w:t>
      </w:r>
      <w:r w:rsidRPr="00AB3126">
        <w:rPr>
          <w:lang w:val="en-US"/>
        </w:rPr>
        <w:lastRenderedPageBreak/>
        <w:t>the CNO. The crystal structure of CNO, C</w:t>
      </w:r>
      <w:r w:rsidRPr="00AB3126">
        <w:rPr>
          <w:rFonts w:hint="eastAsia"/>
          <w:lang w:val="en-US"/>
        </w:rPr>
        <w:t>S</w:t>
      </w:r>
      <w:r w:rsidRPr="00AB3126">
        <w:rPr>
          <w:lang w:val="en-US"/>
        </w:rPr>
        <w:t>PE and SPE were revealed by</w:t>
      </w:r>
      <w:r w:rsidRPr="00AB3126">
        <w:rPr>
          <w:rFonts w:hint="eastAsia"/>
          <w:lang w:val="en-US"/>
        </w:rPr>
        <w:t xml:space="preserve"> X-Ray diffraction (</w:t>
      </w:r>
      <w:r w:rsidRPr="00AB3126">
        <w:rPr>
          <w:lang w:val="en-US"/>
        </w:rPr>
        <w:t>XRD, D8 Discover</w:t>
      </w:r>
      <w:r w:rsidRPr="00AB3126">
        <w:rPr>
          <w:rFonts w:hint="eastAsia"/>
          <w:lang w:val="en-US"/>
        </w:rPr>
        <w:t>)</w:t>
      </w:r>
      <w:r w:rsidRPr="00AB3126">
        <w:rPr>
          <w:lang w:val="en-US"/>
        </w:rPr>
        <w:t xml:space="preserve"> analysis with angular range 10° ≤ 2θ ≤ 80° using Cu Kα radiation (λ = 1.5418 Å). The </w:t>
      </w:r>
      <w:r w:rsidRPr="00AB3126">
        <w:rPr>
          <w:rFonts w:hint="eastAsia"/>
          <w:lang w:val="en-US"/>
        </w:rPr>
        <w:t>X-Ray photoelectron spectroscopy (</w:t>
      </w:r>
      <w:r w:rsidRPr="00AB3126">
        <w:rPr>
          <w:lang w:val="en-US"/>
        </w:rPr>
        <w:t>XPS</w:t>
      </w:r>
      <w:r w:rsidRPr="00AB3126">
        <w:rPr>
          <w:rFonts w:hint="eastAsia"/>
          <w:lang w:val="en-US"/>
        </w:rPr>
        <w:t>)</w:t>
      </w:r>
      <w:r w:rsidRPr="00AB3126">
        <w:rPr>
          <w:lang w:val="en-US"/>
        </w:rPr>
        <w:t xml:space="preserve"> (AXIS SUPRA) was performed to analyze the elemental composition of CNO, electrolytes and electrodes. </w:t>
      </w:r>
      <w:r w:rsidRPr="00AB3126">
        <w:rPr>
          <w:rFonts w:hint="eastAsia"/>
          <w:lang w:val="en-US"/>
        </w:rPr>
        <w:t>Attenuated total reflection Fourier transform infrared (</w:t>
      </w:r>
      <w:r w:rsidRPr="00AB3126">
        <w:rPr>
          <w:lang w:val="en-US"/>
        </w:rPr>
        <w:t>ATR-FTIR</w:t>
      </w:r>
      <w:r w:rsidRPr="00AB3126">
        <w:rPr>
          <w:rFonts w:hint="eastAsia"/>
          <w:lang w:val="en-US"/>
        </w:rPr>
        <w:t>)</w:t>
      </w:r>
      <w:r w:rsidRPr="00AB3126">
        <w:rPr>
          <w:lang w:val="en-US"/>
        </w:rPr>
        <w:t xml:space="preserve"> spectra were obtained on Nicolet 6700 (Thermo Fisher Scientific Co., USA) with a range of 4000-400cm</w:t>
      </w:r>
      <w:r w:rsidRPr="00AB3126">
        <w:rPr>
          <w:vertAlign w:val="superscript"/>
          <w:lang w:val="en-US"/>
        </w:rPr>
        <w:t>-1</w:t>
      </w:r>
      <w:r w:rsidRPr="00AB3126">
        <w:rPr>
          <w:lang w:val="en-US"/>
        </w:rPr>
        <w:t>. Thermo-gravimetric</w:t>
      </w:r>
      <w:r w:rsidRPr="00AB3126">
        <w:rPr>
          <w:rFonts w:hint="eastAsia"/>
          <w:lang w:val="en-US"/>
        </w:rPr>
        <w:t xml:space="preserve"> </w:t>
      </w:r>
      <w:r w:rsidRPr="00AB3126">
        <w:rPr>
          <w:lang w:val="en-US"/>
        </w:rPr>
        <w:t>(TG)</w:t>
      </w:r>
      <w:r w:rsidRPr="00AB3126">
        <w:rPr>
          <w:rFonts w:hint="eastAsia"/>
          <w:lang w:val="en-US"/>
        </w:rPr>
        <w:t xml:space="preserve"> </w:t>
      </w:r>
      <w:r w:rsidRPr="00AB3126">
        <w:rPr>
          <w:lang w:val="en-US"/>
        </w:rPr>
        <w:t>was conducted on a NETZSCH STA 449F5 instrument (heating rate: 10 °C min</w:t>
      </w:r>
      <w:r w:rsidRPr="00AB3126">
        <w:rPr>
          <w:vertAlign w:val="superscript"/>
          <w:lang w:val="en-US"/>
        </w:rPr>
        <w:t>-1</w:t>
      </w:r>
      <w:r w:rsidRPr="00AB3126">
        <w:rPr>
          <w:lang w:val="en-US"/>
        </w:rPr>
        <w:t xml:space="preserve"> from 25</w:t>
      </w:r>
      <w:r w:rsidRPr="00AB3126">
        <w:rPr>
          <w:rFonts w:hint="eastAsia"/>
          <w:lang w:val="en-US"/>
        </w:rPr>
        <w:t xml:space="preserve"> </w:t>
      </w:r>
      <w:r w:rsidRPr="00AB3126">
        <w:rPr>
          <w:lang w:val="en-US"/>
        </w:rPr>
        <w:t>°C to 800</w:t>
      </w:r>
      <w:r w:rsidRPr="00AB3126">
        <w:rPr>
          <w:rFonts w:hint="eastAsia"/>
          <w:lang w:val="en-US"/>
        </w:rPr>
        <w:t xml:space="preserve"> </w:t>
      </w:r>
      <w:r w:rsidRPr="00AB3126">
        <w:rPr>
          <w:lang w:val="en-US"/>
        </w:rPr>
        <w:t>°</w:t>
      </w:r>
      <w:r w:rsidRPr="00AB3126">
        <w:rPr>
          <w:rFonts w:hint="eastAsia"/>
          <w:lang w:val="en-US"/>
        </w:rPr>
        <w:t xml:space="preserve">C </w:t>
      </w:r>
      <w:r w:rsidRPr="00AB3126">
        <w:rPr>
          <w:lang w:val="en-US"/>
        </w:rPr>
        <w:t xml:space="preserve">under </w:t>
      </w:r>
      <w:proofErr w:type="spellStart"/>
      <w:r w:rsidRPr="00AB3126">
        <w:rPr>
          <w:lang w:val="en-US"/>
        </w:rPr>
        <w:t>Ar</w:t>
      </w:r>
      <w:proofErr w:type="spellEnd"/>
      <w:r w:rsidRPr="00AB3126">
        <w:rPr>
          <w:lang w:val="en-US"/>
        </w:rPr>
        <w:t xml:space="preserve"> atmosphere). And Differential scanning calorimetry (DSC) was carried on </w:t>
      </w:r>
      <w:proofErr w:type="spellStart"/>
      <w:r w:rsidRPr="00AB3126">
        <w:rPr>
          <w:lang w:val="en-US"/>
        </w:rPr>
        <w:t>Pyris</w:t>
      </w:r>
      <w:proofErr w:type="spellEnd"/>
      <w:r w:rsidRPr="00AB3126">
        <w:rPr>
          <w:lang w:val="en-US"/>
        </w:rPr>
        <w:t xml:space="preserve"> 1 DSC analyzer in </w:t>
      </w:r>
      <w:proofErr w:type="spellStart"/>
      <w:r w:rsidRPr="00AB3126">
        <w:rPr>
          <w:lang w:val="en-US"/>
        </w:rPr>
        <w:t>Ar</w:t>
      </w:r>
      <w:proofErr w:type="spellEnd"/>
      <w:r w:rsidRPr="00AB3126">
        <w:rPr>
          <w:lang w:val="en-US"/>
        </w:rPr>
        <w:t xml:space="preserve"> from -80</w:t>
      </w:r>
      <w:r w:rsidRPr="00AB3126">
        <w:rPr>
          <w:rFonts w:hint="eastAsia"/>
          <w:lang w:val="en-US"/>
        </w:rPr>
        <w:t xml:space="preserve"> </w:t>
      </w:r>
      <w:r w:rsidRPr="00AB3126">
        <w:rPr>
          <w:lang w:val="en-US"/>
        </w:rPr>
        <w:t>°C to 200</w:t>
      </w:r>
      <w:r w:rsidRPr="00AB3126">
        <w:rPr>
          <w:rFonts w:hint="eastAsia"/>
          <w:lang w:val="en-US"/>
        </w:rPr>
        <w:t xml:space="preserve"> </w:t>
      </w:r>
      <w:r w:rsidRPr="00AB3126">
        <w:rPr>
          <w:lang w:val="en-US"/>
        </w:rPr>
        <w:t>°C with a heating rate of 10 °C min</w:t>
      </w:r>
      <w:r w:rsidRPr="00AB3126">
        <w:rPr>
          <w:vertAlign w:val="superscript"/>
          <w:lang w:val="en-US"/>
        </w:rPr>
        <w:t>-1</w:t>
      </w:r>
      <w:r w:rsidRPr="00AB3126">
        <w:rPr>
          <w:lang w:val="en-US"/>
        </w:rPr>
        <w:t xml:space="preserve">. The Raman spectra were obtained </w:t>
      </w:r>
      <w:r w:rsidRPr="00AB3126">
        <w:rPr>
          <w:rFonts w:hint="eastAsia"/>
          <w:lang w:val="en-US"/>
        </w:rPr>
        <w:t>via</w:t>
      </w:r>
      <w:r w:rsidRPr="00AB3126">
        <w:rPr>
          <w:lang w:val="en-US"/>
        </w:rPr>
        <w:t xml:space="preserve"> a Raman spectrometer (</w:t>
      </w:r>
      <w:proofErr w:type="spellStart"/>
      <w:r w:rsidRPr="00AB3126">
        <w:rPr>
          <w:lang w:val="en-US"/>
        </w:rPr>
        <w:t>LabRAM</w:t>
      </w:r>
      <w:proofErr w:type="spellEnd"/>
      <w:r w:rsidRPr="00AB3126">
        <w:rPr>
          <w:lang w:val="en-US"/>
        </w:rPr>
        <w:t xml:space="preserve"> HR Evolution &amp;</w:t>
      </w:r>
      <w:proofErr w:type="spellStart"/>
      <w:r w:rsidRPr="00AB3126">
        <w:rPr>
          <w:lang w:val="en-US"/>
        </w:rPr>
        <w:t>SmartSPM</w:t>
      </w:r>
      <w:proofErr w:type="spellEnd"/>
      <w:r w:rsidRPr="00AB3126">
        <w:rPr>
          <w:lang w:val="en-US"/>
        </w:rPr>
        <w:t xml:space="preserve">) with 532 nm lasers at room temperature. The stress-strain curves of the as-prepared CSPE and SPE were tested by an Instron 5967 testing system. </w:t>
      </w:r>
      <w:r w:rsidRPr="00AB3126">
        <w:rPr>
          <w:rFonts w:hint="eastAsia"/>
          <w:lang w:val="en-US"/>
        </w:rPr>
        <w:t>The s</w:t>
      </w:r>
      <w:r w:rsidRPr="00AB3126">
        <w:rPr>
          <w:lang w:val="en-US"/>
        </w:rPr>
        <w:t xml:space="preserve">olid state </w:t>
      </w:r>
      <w:r w:rsidRPr="00AB3126">
        <w:rPr>
          <w:vertAlign w:val="superscript"/>
          <w:lang w:val="en-US"/>
        </w:rPr>
        <w:t>7</w:t>
      </w:r>
      <w:r w:rsidRPr="00AB3126">
        <w:rPr>
          <w:lang w:val="en-US"/>
        </w:rPr>
        <w:t xml:space="preserve">Li </w:t>
      </w:r>
      <w:r w:rsidRPr="00AB3126">
        <w:rPr>
          <w:rFonts w:hint="eastAsia"/>
          <w:lang w:val="en-US"/>
        </w:rPr>
        <w:t xml:space="preserve">and </w:t>
      </w:r>
      <w:r w:rsidRPr="00AB3126">
        <w:rPr>
          <w:rFonts w:hint="eastAsia"/>
          <w:vertAlign w:val="superscript"/>
          <w:lang w:val="en-US"/>
        </w:rPr>
        <w:t>19</w:t>
      </w:r>
      <w:r w:rsidRPr="00AB3126">
        <w:rPr>
          <w:rFonts w:hint="eastAsia"/>
          <w:lang w:val="en-US"/>
        </w:rPr>
        <w:t>F</w:t>
      </w:r>
      <w:r w:rsidRPr="00AB3126">
        <w:rPr>
          <w:lang w:val="en-US"/>
        </w:rPr>
        <w:t xml:space="preserve">magic angle spinning (MAS) NMR spectra were acquired on a Bruker Advance III 400MHz Solid NMR Spectrometer at 25 °C using a commercial 3.2 mm DVT probe. The dielectric relaxation spectroscopy (DRS) of each film was carried out on Agilent Technologies 4294A precision LCR meter in the frequency range from 100 Hz to 1 </w:t>
      </w:r>
      <w:proofErr w:type="spellStart"/>
      <w:r w:rsidRPr="00AB3126">
        <w:rPr>
          <w:lang w:val="en-US"/>
        </w:rPr>
        <w:t>MHz</w:t>
      </w:r>
      <w:r w:rsidRPr="00AB3126">
        <w:rPr>
          <w:rFonts w:hint="eastAsia"/>
          <w:lang w:val="en-US"/>
        </w:rPr>
        <w:t>.</w:t>
      </w:r>
      <w:proofErr w:type="spellEnd"/>
    </w:p>
    <w:p w14:paraId="5BF3A680" w14:textId="77777777" w:rsidR="00AB3126" w:rsidRPr="00AB3126" w:rsidRDefault="00AB3126" w:rsidP="00555B75">
      <w:pPr>
        <w:spacing w:line="360" w:lineRule="auto"/>
        <w:jc w:val="both"/>
        <w:rPr>
          <w:b/>
          <w:bCs/>
          <w:lang w:val="en-US"/>
        </w:rPr>
      </w:pPr>
    </w:p>
    <w:p w14:paraId="2D477489" w14:textId="77777777" w:rsidR="00AB3126" w:rsidRPr="00AB3126" w:rsidRDefault="00AB3126" w:rsidP="00555B75">
      <w:pPr>
        <w:spacing w:line="360" w:lineRule="auto"/>
        <w:jc w:val="both"/>
        <w:rPr>
          <w:b/>
          <w:bCs/>
          <w:lang w:val="en-US"/>
        </w:rPr>
      </w:pPr>
      <w:r w:rsidRPr="00AB3126">
        <w:rPr>
          <w:b/>
          <w:bCs/>
          <w:lang w:val="en-US"/>
        </w:rPr>
        <w:t>Electrochemical Characterization of Solid Composite Electrolyte</w:t>
      </w:r>
    </w:p>
    <w:p w14:paraId="294E8529" w14:textId="77777777" w:rsidR="00AB3126" w:rsidRPr="00AB3126" w:rsidRDefault="00AB3126" w:rsidP="00323233">
      <w:pPr>
        <w:spacing w:line="360" w:lineRule="auto"/>
        <w:ind w:firstLineChars="100" w:firstLine="240"/>
        <w:jc w:val="both"/>
        <w:rPr>
          <w:lang w:val="en-US"/>
        </w:rPr>
      </w:pPr>
      <w:r w:rsidRPr="00AB3126">
        <w:rPr>
          <w:lang w:val="en-US"/>
        </w:rPr>
        <w:t>The CR2016</w:t>
      </w:r>
      <w:r w:rsidRPr="00AB3126">
        <w:rPr>
          <w:rFonts w:hint="eastAsia"/>
          <w:lang w:val="en-US"/>
        </w:rPr>
        <w:t xml:space="preserve"> </w:t>
      </w:r>
      <w:r w:rsidRPr="00AB3126">
        <w:rPr>
          <w:lang w:val="en-US"/>
        </w:rPr>
        <w:t xml:space="preserve">stainless steel (SS)||SS </w:t>
      </w:r>
      <w:r w:rsidRPr="00AB3126">
        <w:rPr>
          <w:rFonts w:hint="eastAsia"/>
          <w:lang w:val="en-US"/>
        </w:rPr>
        <w:t>cell</w:t>
      </w:r>
      <w:r w:rsidRPr="00AB3126">
        <w:rPr>
          <w:lang w:val="en-US"/>
        </w:rPr>
        <w:t xml:space="preserve"> was assembled with different solid composite electrolytes for EIS test. Then IC of </w:t>
      </w:r>
      <w:proofErr w:type="spellStart"/>
      <w:r w:rsidRPr="00AB3126">
        <w:rPr>
          <w:lang w:val="en-US"/>
        </w:rPr>
        <w:t>PLCNx</w:t>
      </w:r>
      <w:proofErr w:type="spellEnd"/>
      <w:r w:rsidRPr="00AB3126">
        <w:rPr>
          <w:lang w:val="en-US"/>
        </w:rPr>
        <w:t xml:space="preserve"> (x=1, 3, 5, 7% wt.) and PL were evaluated at different temperatures by EIS from 10</w:t>
      </w:r>
      <w:r w:rsidRPr="00AB3126">
        <w:rPr>
          <w:vertAlign w:val="superscript"/>
          <w:lang w:val="en-US"/>
        </w:rPr>
        <w:t>6</w:t>
      </w:r>
      <w:r w:rsidRPr="00AB3126">
        <w:rPr>
          <w:rFonts w:hint="eastAsia"/>
          <w:lang w:val="en-US"/>
        </w:rPr>
        <w:t xml:space="preserve"> </w:t>
      </w:r>
      <w:r w:rsidRPr="00AB3126">
        <w:rPr>
          <w:lang w:val="en-US"/>
        </w:rPr>
        <w:t xml:space="preserve">Hz to 10 </w:t>
      </w:r>
      <w:bookmarkStart w:id="2" w:name="OLE_LINK4"/>
      <w:r w:rsidRPr="00AB3126">
        <w:rPr>
          <w:lang w:val="en-US"/>
        </w:rPr>
        <w:t xml:space="preserve">Hz </w:t>
      </w:r>
      <w:bookmarkEnd w:id="2"/>
      <w:r w:rsidRPr="00AB3126">
        <w:rPr>
          <w:lang w:val="en-US"/>
        </w:rPr>
        <w:t xml:space="preserve">with 10 mV amplitude on an </w:t>
      </w:r>
      <w:proofErr w:type="spellStart"/>
      <w:r w:rsidRPr="00AB3126">
        <w:rPr>
          <w:lang w:val="en-US"/>
        </w:rPr>
        <w:t>Autolab</w:t>
      </w:r>
      <w:proofErr w:type="spellEnd"/>
      <w:r w:rsidRPr="00AB3126">
        <w:rPr>
          <w:lang w:val="en-US"/>
        </w:rPr>
        <w:t xml:space="preserve"> PGSTAT302N. The equation for calculating IC is shown below:</w:t>
      </w:r>
    </w:p>
    <w:p w14:paraId="4457441F" w14:textId="48C3171D" w:rsidR="00AB3126" w:rsidRPr="00AB3126" w:rsidRDefault="00AB3126" w:rsidP="00555B75">
      <w:pPr>
        <w:spacing w:line="360" w:lineRule="auto"/>
        <w:jc w:val="both"/>
        <w:rPr>
          <w:b/>
          <w:bCs/>
          <w:lang w:val="en-US"/>
        </w:rPr>
      </w:pPr>
      <m:oMath>
        <m:r>
          <w:rPr>
            <w:rFonts w:ascii="Cambria Math" w:hAnsi="Cambria Math"/>
            <w:lang w:val="en-US"/>
          </w:rPr>
          <m:t>δ=</m:t>
        </m:r>
        <m:f>
          <m:fPr>
            <m:ctrlPr>
              <w:rPr>
                <w:rFonts w:ascii="Cambria Math" w:hAnsi="Cambria Math"/>
                <w:bCs/>
                <w:i/>
                <w:lang w:val="en-US"/>
              </w:rPr>
            </m:ctrlPr>
          </m:fPr>
          <m:num>
            <m:r>
              <w:rPr>
                <w:rFonts w:ascii="Cambria Math" w:hAnsi="Cambria Math"/>
                <w:lang w:val="en-US"/>
              </w:rPr>
              <m:t>l</m:t>
            </m:r>
          </m:num>
          <m:den>
            <m:r>
              <w:rPr>
                <w:rFonts w:ascii="Cambria Math" w:hAnsi="Cambria Math"/>
                <w:lang w:val="en-US"/>
              </w:rPr>
              <m:t>S</m:t>
            </m:r>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b</m:t>
                </m:r>
              </m:sub>
            </m:sSub>
          </m:den>
        </m:f>
        <m:r>
          <w:rPr>
            <w:rFonts w:ascii="Cambria Math" w:hAnsi="Cambria Math"/>
            <w:lang w:val="en-US"/>
          </w:rPr>
          <m:t xml:space="preserve"> </m:t>
        </m:r>
      </m:oMath>
      <w:r w:rsidRPr="00AB3126">
        <w:rPr>
          <w:rFonts w:hint="eastAsia"/>
          <w:bCs/>
          <w:lang w:val="en-US"/>
        </w:rPr>
        <w:t xml:space="preserve">      (1)</w:t>
      </w:r>
    </w:p>
    <w:p w14:paraId="62DD2503" w14:textId="77777777" w:rsidR="00AB3126" w:rsidRPr="00AB3126" w:rsidRDefault="00AB3126" w:rsidP="00555B75">
      <w:pPr>
        <w:spacing w:line="360" w:lineRule="auto"/>
        <w:jc w:val="both"/>
        <w:rPr>
          <w:b/>
          <w:bCs/>
          <w:lang w:val="en-US"/>
        </w:rPr>
      </w:pPr>
      <w:r w:rsidRPr="00AB3126">
        <w:rPr>
          <w:lang w:val="en-US"/>
        </w:rPr>
        <w:t xml:space="preserve">Where </w:t>
      </w:r>
      <w:r w:rsidRPr="00AB3126">
        <w:rPr>
          <w:rFonts w:hint="eastAsia"/>
          <w:lang w:val="en-US"/>
        </w:rPr>
        <w:t>l</w:t>
      </w:r>
      <w:r w:rsidRPr="00AB3126">
        <w:rPr>
          <w:lang w:val="en-US"/>
        </w:rPr>
        <w:t>, R</w:t>
      </w:r>
      <w:r w:rsidRPr="00AB3126">
        <w:rPr>
          <w:vertAlign w:val="subscript"/>
          <w:lang w:val="en-US"/>
        </w:rPr>
        <w:t>b</w:t>
      </w:r>
      <w:r w:rsidRPr="00AB3126">
        <w:rPr>
          <w:lang w:val="en-US"/>
        </w:rPr>
        <w:t xml:space="preserve"> and S are the thickness of the electrolyte, bulk impedance of the electrolyte and the area of the blocking stainless steel electrode.</w:t>
      </w:r>
      <w:r w:rsidRPr="00AB3126">
        <w:rPr>
          <w:rFonts w:hint="eastAsia"/>
          <w:lang w:val="en-US"/>
        </w:rPr>
        <w:t xml:space="preserve"> </w:t>
      </w:r>
      <w:r w:rsidRPr="00AB3126">
        <w:rPr>
          <w:lang w:val="en-US"/>
        </w:rPr>
        <w:t>Before EIS test, the cells were kept at the corresponding test temperature for 30</w:t>
      </w:r>
      <w:r w:rsidRPr="00AB3126">
        <w:rPr>
          <w:rFonts w:hint="eastAsia"/>
          <w:lang w:val="en-US"/>
        </w:rPr>
        <w:t xml:space="preserve"> </w:t>
      </w:r>
      <w:r w:rsidRPr="00AB3126">
        <w:rPr>
          <w:lang w:val="en-US"/>
        </w:rPr>
        <w:t>min to reach thermal equilibrium.</w:t>
      </w:r>
      <w:r w:rsidRPr="00AB3126">
        <w:rPr>
          <w:rFonts w:hint="eastAsia"/>
          <w:lang w:val="en-US"/>
        </w:rPr>
        <w:t xml:space="preserve"> </w:t>
      </w:r>
      <w:r w:rsidRPr="00AB3126">
        <w:rPr>
          <w:lang w:val="en-US"/>
        </w:rPr>
        <w:t>The electrochemical stability window was obtained by carr</w:t>
      </w:r>
      <w:r w:rsidRPr="00AB3126">
        <w:rPr>
          <w:rFonts w:hint="eastAsia"/>
          <w:lang w:val="en-US"/>
        </w:rPr>
        <w:t>y</w:t>
      </w:r>
      <w:r w:rsidRPr="00AB3126">
        <w:rPr>
          <w:lang w:val="en-US"/>
        </w:rPr>
        <w:t>ing out the linear sweep voltammetry (LSV) test on a lithium</w:t>
      </w:r>
      <w:r w:rsidRPr="00AB3126">
        <w:rPr>
          <w:rFonts w:hint="eastAsia"/>
          <w:lang w:val="en-US"/>
        </w:rPr>
        <w:t>/</w:t>
      </w:r>
      <w:r w:rsidRPr="00AB3126">
        <w:rPr>
          <w:lang w:val="en-US"/>
        </w:rPr>
        <w:t>CSPE</w:t>
      </w:r>
      <w:r w:rsidRPr="00AB3126">
        <w:rPr>
          <w:rFonts w:hint="eastAsia"/>
          <w:lang w:val="en-US"/>
        </w:rPr>
        <w:t>/</w:t>
      </w:r>
      <w:r w:rsidRPr="00AB3126">
        <w:rPr>
          <w:lang w:val="en-US"/>
        </w:rPr>
        <w:t>SS cell from open</w:t>
      </w:r>
      <w:r w:rsidRPr="00AB3126">
        <w:rPr>
          <w:rFonts w:hint="eastAsia"/>
          <w:lang w:val="en-US"/>
        </w:rPr>
        <w:t xml:space="preserve"> </w:t>
      </w:r>
      <w:r w:rsidRPr="00AB3126">
        <w:rPr>
          <w:lang w:val="en-US"/>
        </w:rPr>
        <w:t>circuit voltage to 6.0</w:t>
      </w:r>
      <w:r w:rsidRPr="00AB3126">
        <w:rPr>
          <w:rFonts w:hint="eastAsia"/>
          <w:lang w:val="en-US"/>
        </w:rPr>
        <w:t xml:space="preserve"> </w:t>
      </w:r>
      <w:r w:rsidRPr="00AB3126">
        <w:rPr>
          <w:lang w:val="en-US"/>
        </w:rPr>
        <w:t>V versus Li/Li</w:t>
      </w:r>
      <w:r w:rsidRPr="00AB3126">
        <w:rPr>
          <w:vertAlign w:val="superscript"/>
          <w:lang w:val="en-US"/>
        </w:rPr>
        <w:t>+</w:t>
      </w:r>
      <w:r w:rsidRPr="00AB3126">
        <w:rPr>
          <w:lang w:val="en-US"/>
        </w:rPr>
        <w:t xml:space="preserve"> with a</w:t>
      </w:r>
      <w:r w:rsidRPr="00AB3126">
        <w:rPr>
          <w:rFonts w:hint="eastAsia"/>
          <w:lang w:val="en-US"/>
        </w:rPr>
        <w:t xml:space="preserve"> </w:t>
      </w:r>
      <w:r w:rsidRPr="00AB3126">
        <w:rPr>
          <w:lang w:val="en-US"/>
        </w:rPr>
        <w:t>scan rate of 0.5</w:t>
      </w:r>
      <w:r w:rsidRPr="00AB3126">
        <w:rPr>
          <w:rFonts w:hint="eastAsia"/>
          <w:lang w:val="en-US"/>
        </w:rPr>
        <w:t xml:space="preserve"> </w:t>
      </w:r>
      <w:r w:rsidRPr="00AB3126">
        <w:rPr>
          <w:lang w:val="en-US"/>
        </w:rPr>
        <w:t>mV s</w:t>
      </w:r>
      <w:r w:rsidRPr="00AB3126">
        <w:rPr>
          <w:vertAlign w:val="superscript"/>
          <w:lang w:val="en-US"/>
        </w:rPr>
        <w:t>–1</w:t>
      </w:r>
      <w:r w:rsidRPr="00AB3126">
        <w:rPr>
          <w:lang w:val="en-US"/>
        </w:rPr>
        <w:t>.</w:t>
      </w:r>
    </w:p>
    <w:p w14:paraId="58E1D66E" w14:textId="175779CA" w:rsidR="00AB3126" w:rsidRPr="00AB3126" w:rsidRDefault="00AB3126" w:rsidP="00323233">
      <w:pPr>
        <w:spacing w:line="360" w:lineRule="auto"/>
        <w:ind w:firstLineChars="100" w:firstLine="240"/>
        <w:jc w:val="both"/>
        <w:rPr>
          <w:lang w:val="en-US"/>
        </w:rPr>
      </w:pPr>
      <w:r w:rsidRPr="00AB3126">
        <w:rPr>
          <w:rFonts w:hint="eastAsia"/>
          <w:lang w:val="en-US"/>
        </w:rPr>
        <w:t xml:space="preserve">The activation energies of different </w:t>
      </w:r>
      <w:r w:rsidRPr="00AB3126">
        <w:rPr>
          <w:lang w:val="en-US"/>
        </w:rPr>
        <w:t xml:space="preserve">electrolyte </w:t>
      </w:r>
      <w:r w:rsidRPr="00AB3126">
        <w:rPr>
          <w:rFonts w:hint="eastAsia"/>
          <w:lang w:val="en-US"/>
        </w:rPr>
        <w:t xml:space="preserve">systems are </w:t>
      </w:r>
      <w:r w:rsidRPr="00AB3126">
        <w:rPr>
          <w:lang w:val="en-US"/>
        </w:rPr>
        <w:t>ca</w:t>
      </w:r>
      <w:r w:rsidR="008D7C85">
        <w:rPr>
          <w:rFonts w:asciiTheme="minorEastAsia" w:eastAsiaTheme="minorEastAsia" w:hAnsiTheme="minorEastAsia" w:hint="eastAsia"/>
          <w:lang w:val="en-US" w:eastAsia="zh-CN"/>
        </w:rPr>
        <w:t>l</w:t>
      </w:r>
      <w:r w:rsidRPr="00AB3126">
        <w:rPr>
          <w:lang w:val="en-US"/>
        </w:rPr>
        <w:t>culated</w:t>
      </w:r>
      <w:r w:rsidRPr="00AB3126">
        <w:rPr>
          <w:rFonts w:hint="eastAsia"/>
          <w:lang w:val="en-US"/>
        </w:rPr>
        <w:t xml:space="preserve"> by the classical </w:t>
      </w:r>
      <w:bookmarkStart w:id="3" w:name="OLE_LINK10"/>
      <w:r w:rsidRPr="00AB3126">
        <w:rPr>
          <w:rFonts w:hint="eastAsia"/>
          <w:lang w:val="en-US"/>
        </w:rPr>
        <w:t>Arrhenius formul</w:t>
      </w:r>
      <w:bookmarkEnd w:id="3"/>
      <w:r w:rsidRPr="00AB3126">
        <w:rPr>
          <w:rFonts w:hint="eastAsia"/>
          <w:lang w:val="en-US"/>
        </w:rPr>
        <w:t xml:space="preserve">a as shown </w:t>
      </w:r>
      <w:r w:rsidRPr="00AB3126">
        <w:rPr>
          <w:lang w:val="en-US"/>
        </w:rPr>
        <w:t xml:space="preserve">below:  </w:t>
      </w:r>
    </w:p>
    <w:p w14:paraId="6AEC1AD7" w14:textId="51EC9A83" w:rsidR="00AB3126" w:rsidRPr="00AB3126" w:rsidRDefault="00AB3126" w:rsidP="00555B75">
      <w:pPr>
        <w:spacing w:line="360" w:lineRule="auto"/>
        <w:jc w:val="both"/>
        <w:rPr>
          <w:lang w:val="en-US"/>
        </w:rPr>
      </w:pPr>
      <m:oMath>
        <m:r>
          <m:rPr>
            <m:nor/>
          </m:rPr>
          <w:rPr>
            <w:rFonts w:hint="eastAsia"/>
            <w:lang w:val="en-US"/>
          </w:rPr>
          <m:t>σ</m:t>
        </m:r>
        <m:r>
          <m:rPr>
            <m:nor/>
          </m:rPr>
          <w:rPr>
            <w:rFonts w:hint="eastAsia"/>
            <w:lang w:val="en-US"/>
          </w:rPr>
          <m:t>(T)=</m:t>
        </m:r>
        <w:proofErr w:type="spellStart"/>
        <m:r>
          <m:rPr>
            <m:nor/>
          </m:rPr>
          <w:rPr>
            <w:rFonts w:hint="eastAsia"/>
            <w:lang w:val="en-US"/>
          </w:rPr>
          <m:t>Aexp</m:t>
        </m:r>
        <w:proofErr w:type="spellEnd"/>
        <m:r>
          <m:rPr>
            <m:nor/>
          </m:rPr>
          <w:rPr>
            <w:rFonts w:hint="eastAsia"/>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hint="eastAsia"/>
                    <w:lang w:val="en-US"/>
                  </w:rPr>
                  <m:t>E</m:t>
                </m:r>
              </m:e>
              <m:sub>
                <m:r>
                  <w:rPr>
                    <w:rFonts w:ascii="Cambria Math" w:hAnsi="Cambria Math" w:hint="eastAsia"/>
                    <w:lang w:val="en-US"/>
                  </w:rPr>
                  <m:t>a</m:t>
                </m:r>
              </m:sub>
            </m:sSub>
          </m:num>
          <m:den>
            <m:r>
              <w:rPr>
                <w:rFonts w:ascii="Cambria Math" w:hAnsi="Cambria Math" w:hint="eastAsia"/>
                <w:lang w:val="en-US"/>
              </w:rPr>
              <m:t>RT</m:t>
            </m:r>
          </m:den>
        </m:f>
        <m:r>
          <m:rPr>
            <m:nor/>
          </m:rPr>
          <w:rPr>
            <w:rFonts w:hint="eastAsia"/>
            <w:lang w:val="en-US"/>
          </w:rPr>
          <m:t>)</m:t>
        </m:r>
      </m:oMath>
      <w:r w:rsidRPr="00AB3126">
        <w:rPr>
          <w:rFonts w:hint="eastAsia"/>
          <w:lang w:val="en-US"/>
        </w:rPr>
        <w:t xml:space="preserve">       (2)</w:t>
      </w:r>
    </w:p>
    <w:p w14:paraId="7ECEA4FC" w14:textId="77777777" w:rsidR="00AB3126" w:rsidRPr="00AB3126" w:rsidRDefault="00AB3126" w:rsidP="00555B75">
      <w:pPr>
        <w:spacing w:line="360" w:lineRule="auto"/>
        <w:jc w:val="both"/>
        <w:rPr>
          <w:lang w:val="en-US"/>
        </w:rPr>
      </w:pPr>
      <w:r w:rsidRPr="00AB3126">
        <w:rPr>
          <w:rFonts w:hint="eastAsia"/>
          <w:lang w:val="en-US"/>
        </w:rPr>
        <w:lastRenderedPageBreak/>
        <w:t>where A</w:t>
      </w:r>
      <w:r w:rsidRPr="00AB3126">
        <w:rPr>
          <w:lang w:val="en-US"/>
        </w:rPr>
        <w:t>,</w:t>
      </w:r>
      <w:r w:rsidRPr="00AB3126">
        <w:rPr>
          <w:rFonts w:hint="eastAsia"/>
          <w:lang w:val="en-US"/>
        </w:rPr>
        <w:t xml:space="preserve"> T and </w:t>
      </w:r>
      <w:proofErr w:type="spellStart"/>
      <w:r w:rsidRPr="00AB3126">
        <w:rPr>
          <w:rFonts w:hint="eastAsia"/>
          <w:lang w:val="en-US"/>
        </w:rPr>
        <w:t>E</w:t>
      </w:r>
      <w:r w:rsidRPr="00AB3126">
        <w:rPr>
          <w:rFonts w:hint="eastAsia"/>
          <w:vertAlign w:val="subscript"/>
          <w:lang w:val="en-US"/>
        </w:rPr>
        <w:t>a</w:t>
      </w:r>
      <w:proofErr w:type="spellEnd"/>
      <w:r w:rsidRPr="00AB3126">
        <w:rPr>
          <w:rFonts w:hint="eastAsia"/>
          <w:lang w:val="en-US"/>
        </w:rPr>
        <w:t xml:space="preserve"> </w:t>
      </w:r>
      <w:r w:rsidRPr="00AB3126">
        <w:rPr>
          <w:lang w:val="en-US"/>
        </w:rPr>
        <w:t>are</w:t>
      </w:r>
      <w:r w:rsidRPr="00AB3126">
        <w:rPr>
          <w:rFonts w:hint="eastAsia"/>
          <w:lang w:val="en-US"/>
        </w:rPr>
        <w:t xml:space="preserve"> the pre-exponential factor, absolute temperature</w:t>
      </w:r>
      <w:r w:rsidRPr="00AB3126">
        <w:rPr>
          <w:lang w:val="en-US"/>
        </w:rPr>
        <w:t xml:space="preserve"> and</w:t>
      </w:r>
      <w:r w:rsidRPr="00AB3126">
        <w:rPr>
          <w:rFonts w:hint="eastAsia"/>
          <w:lang w:val="en-US"/>
        </w:rPr>
        <w:t xml:space="preserve"> activation energy of the activated ion transition conduction process.</w:t>
      </w:r>
    </w:p>
    <w:p w14:paraId="589C538D" w14:textId="77777777" w:rsidR="00AB3126" w:rsidRPr="00AB3126" w:rsidRDefault="00AB3126" w:rsidP="00555B75">
      <w:pPr>
        <w:spacing w:line="360" w:lineRule="auto"/>
        <w:jc w:val="both"/>
        <w:rPr>
          <w:lang w:val="en-US"/>
        </w:rPr>
      </w:pPr>
      <w:r w:rsidRPr="00AB3126">
        <w:rPr>
          <w:lang w:val="en-US"/>
        </w:rPr>
        <w:t>The lithium-ion transference number (</w:t>
      </w:r>
      <w:proofErr w:type="spellStart"/>
      <w:r w:rsidRPr="00AB3126">
        <w:rPr>
          <w:lang w:val="en-US"/>
        </w:rPr>
        <w:t>t</w:t>
      </w:r>
      <w:r w:rsidRPr="00AB3126">
        <w:rPr>
          <w:vertAlign w:val="subscript"/>
          <w:lang w:val="en-US"/>
        </w:rPr>
        <w:t>Li</w:t>
      </w:r>
      <w:proofErr w:type="spellEnd"/>
      <w:r w:rsidRPr="00AB3126">
        <w:rPr>
          <w:vertAlign w:val="superscript"/>
          <w:lang w:val="en-US"/>
        </w:rPr>
        <w:t>+</w:t>
      </w:r>
      <w:r w:rsidRPr="00AB3126">
        <w:rPr>
          <w:lang w:val="en-US"/>
        </w:rPr>
        <w:t>)</w:t>
      </w:r>
      <w:r w:rsidRPr="00AB3126">
        <w:rPr>
          <w:rFonts w:hint="eastAsia"/>
          <w:lang w:val="en-US"/>
        </w:rPr>
        <w:t xml:space="preserve"> w</w:t>
      </w:r>
      <w:r w:rsidRPr="00AB3126">
        <w:rPr>
          <w:lang w:val="en-US"/>
        </w:rPr>
        <w:t>as obtained by assembling the Li/Li sy</w:t>
      </w:r>
      <w:r w:rsidRPr="00AB3126">
        <w:rPr>
          <w:rFonts w:hint="eastAsia"/>
          <w:lang w:val="en-US"/>
        </w:rPr>
        <w:t>m</w:t>
      </w:r>
      <w:r w:rsidRPr="00AB3126">
        <w:rPr>
          <w:lang w:val="en-US"/>
        </w:rPr>
        <w:t xml:space="preserve">metric batteries for testing, and the specific value is calculated using the following </w:t>
      </w:r>
      <w:r w:rsidRPr="00AB3126">
        <w:rPr>
          <w:rFonts w:hint="eastAsia"/>
          <w:lang w:val="en-US"/>
        </w:rPr>
        <w:t>e</w:t>
      </w:r>
      <w:r w:rsidRPr="00AB3126">
        <w:rPr>
          <w:lang w:val="en-US"/>
        </w:rPr>
        <w:t>q</w:t>
      </w:r>
      <w:r w:rsidRPr="00AB3126">
        <w:rPr>
          <w:rFonts w:hint="eastAsia"/>
          <w:lang w:val="en-US"/>
        </w:rPr>
        <w:t>uation</w:t>
      </w:r>
      <w:r w:rsidRPr="00AB3126">
        <w:rPr>
          <w:lang w:val="en-US"/>
        </w:rPr>
        <w:t>:</w:t>
      </w:r>
    </w:p>
    <w:p w14:paraId="003E39BE" w14:textId="5FAC6F64" w:rsidR="00AB3126" w:rsidRPr="00AB3126" w:rsidRDefault="00BD66D5" w:rsidP="00555B75">
      <w:pPr>
        <w:spacing w:line="360" w:lineRule="auto"/>
        <w:jc w:val="both"/>
        <w:rPr>
          <w:lang w:val="en-US"/>
        </w:rPr>
      </w:pPr>
      <m:oMath>
        <m:sSub>
          <m:sSubPr>
            <m:ctrlPr>
              <w:rPr>
                <w:rFonts w:ascii="Cambria Math" w:hAnsi="Cambria Math"/>
                <w:lang w:val="en-US"/>
              </w:rPr>
            </m:ctrlPr>
          </m:sSubPr>
          <m:e>
            <m:r>
              <m:rPr>
                <m:sty m:val="p"/>
              </m:rPr>
              <w:rPr>
                <w:rFonts w:ascii="Cambria Math" w:hAnsi="Cambria Math"/>
                <w:lang w:val="en-US"/>
              </w:rPr>
              <m:t>t</m:t>
            </m:r>
          </m:e>
          <m:sub>
            <m:sSup>
              <m:sSupPr>
                <m:ctrlPr>
                  <w:rPr>
                    <w:rFonts w:ascii="Cambria Math" w:hAnsi="Cambria Math"/>
                    <w:lang w:val="en-US"/>
                  </w:rPr>
                </m:ctrlPr>
              </m:sSupPr>
              <m:e>
                <m:r>
                  <m:rPr>
                    <m:sty m:val="p"/>
                  </m:rPr>
                  <w:rPr>
                    <w:rFonts w:ascii="Cambria Math" w:hAnsi="Cambria Math"/>
                    <w:lang w:val="en-US"/>
                  </w:rPr>
                  <m:t>Li</m:t>
                </m:r>
              </m:e>
              <m:sup>
                <m:r>
                  <m:rPr>
                    <m:sty m:val="p"/>
                  </m:rPr>
                  <w:rPr>
                    <w:rFonts w:ascii="Cambria Math" w:hAnsi="Cambria Math"/>
                    <w:lang w:val="en-US"/>
                  </w:rPr>
                  <m:t>+</m:t>
                </m:r>
              </m:sup>
            </m:sSup>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SS</m:t>
                </m:r>
              </m:sub>
            </m:sSub>
            <m:r>
              <m:rPr>
                <m:sty m:val="p"/>
              </m:rPr>
              <w:rPr>
                <w:rFonts w:ascii="Cambria Math" w:hAnsi="Cambria Math"/>
                <w:lang w:val="en-US"/>
              </w:rPr>
              <m:t>(ΔV-</m:t>
            </m:r>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0</m:t>
                </m:r>
              </m:sub>
            </m:sSub>
            <m:sSub>
              <m:sSubPr>
                <m:ctrlPr>
                  <w:rPr>
                    <w:rFonts w:ascii="Cambria Math" w:hAnsi="Cambria Math"/>
                    <w:lang w:val="en-US"/>
                  </w:rPr>
                </m:ctrlPr>
              </m:sSubPr>
              <m:e>
                <m:r>
                  <m:rPr>
                    <m:sty m:val="p"/>
                  </m:rPr>
                  <w:rPr>
                    <w:rFonts w:ascii="Cambria Math" w:hAnsi="Cambria Math"/>
                    <w:lang w:val="en-US"/>
                  </w:rPr>
                  <m:t>R</m:t>
                </m:r>
              </m:e>
              <m:sub>
                <m:r>
                  <m:rPr>
                    <m:sty m:val="p"/>
                  </m:rPr>
                  <w:rPr>
                    <w:rFonts w:ascii="Cambria Math" w:hAnsi="Cambria Math"/>
                    <w:lang w:val="en-US"/>
                  </w:rPr>
                  <m:t>0</m:t>
                </m:r>
              </m:sub>
            </m:sSub>
            <m:r>
              <m:rPr>
                <m:sty m:val="p"/>
              </m:rPr>
              <w:rPr>
                <w:rFonts w:ascii="Cambria Math" w:hAnsi="Cambria Math"/>
                <w:lang w:val="en-US"/>
              </w:rPr>
              <m:t>)</m:t>
            </m:r>
          </m:num>
          <m:den>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0</m:t>
                </m:r>
              </m:sub>
            </m:sSub>
            <m:r>
              <m:rPr>
                <m:sty m:val="p"/>
              </m:rPr>
              <w:rPr>
                <w:rFonts w:ascii="Cambria Math" w:hAnsi="Cambria Math"/>
                <w:lang w:val="en-US"/>
              </w:rPr>
              <m:t>(ΔV-</m:t>
            </m:r>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SS</m:t>
                </m:r>
              </m:sub>
            </m:sSub>
            <m:sSub>
              <m:sSubPr>
                <m:ctrlPr>
                  <w:rPr>
                    <w:rFonts w:ascii="Cambria Math" w:hAnsi="Cambria Math"/>
                    <w:lang w:val="en-US"/>
                  </w:rPr>
                </m:ctrlPr>
              </m:sSubPr>
              <m:e>
                <m:r>
                  <m:rPr>
                    <m:sty m:val="p"/>
                  </m:rPr>
                  <w:rPr>
                    <w:rFonts w:ascii="Cambria Math" w:hAnsi="Cambria Math"/>
                    <w:lang w:val="en-US"/>
                  </w:rPr>
                  <m:t>R</m:t>
                </m:r>
              </m:e>
              <m:sub>
                <m:r>
                  <m:rPr>
                    <m:sty m:val="p"/>
                  </m:rPr>
                  <w:rPr>
                    <w:rFonts w:ascii="Cambria Math" w:hAnsi="Cambria Math"/>
                    <w:lang w:val="en-US"/>
                  </w:rPr>
                  <m:t>SS</m:t>
                </m:r>
              </m:sub>
            </m:sSub>
            <m:r>
              <m:rPr>
                <m:sty m:val="p"/>
              </m:rPr>
              <w:rPr>
                <w:rFonts w:ascii="Cambria Math" w:hAnsi="Cambria Math"/>
                <w:lang w:val="en-US"/>
              </w:rPr>
              <m:t>)</m:t>
            </m:r>
          </m:den>
        </m:f>
      </m:oMath>
      <w:r w:rsidR="00AB3126" w:rsidRPr="00AB3126">
        <w:rPr>
          <w:rFonts w:hint="eastAsia"/>
          <w:lang w:val="en-US"/>
        </w:rPr>
        <w:t xml:space="preserve">      (3)</w:t>
      </w:r>
    </w:p>
    <w:p w14:paraId="6E39E89D" w14:textId="77777777" w:rsidR="00AB3126" w:rsidRPr="00AB3126" w:rsidRDefault="00AB3126" w:rsidP="00555B75">
      <w:pPr>
        <w:spacing w:line="360" w:lineRule="auto"/>
        <w:jc w:val="both"/>
        <w:rPr>
          <w:lang w:val="en-US"/>
        </w:rPr>
      </w:pPr>
      <w:r w:rsidRPr="00AB3126">
        <w:rPr>
          <w:lang w:val="en-US"/>
        </w:rPr>
        <w:t>where I</w:t>
      </w:r>
      <w:r w:rsidRPr="00AB3126">
        <w:rPr>
          <w:vertAlign w:val="subscript"/>
          <w:lang w:val="en-US"/>
        </w:rPr>
        <w:t>0</w:t>
      </w:r>
      <w:r w:rsidRPr="00AB3126">
        <w:rPr>
          <w:lang w:val="en-US"/>
        </w:rPr>
        <w:t xml:space="preserve"> and I</w:t>
      </w:r>
      <w:r w:rsidRPr="00AB3126">
        <w:rPr>
          <w:vertAlign w:val="subscript"/>
          <w:lang w:val="en-US"/>
        </w:rPr>
        <w:t>SS</w:t>
      </w:r>
      <w:r w:rsidRPr="00AB3126">
        <w:rPr>
          <w:lang w:val="en-US"/>
        </w:rPr>
        <w:t xml:space="preserve"> are the initial and steady-state currents, ΔV is the potential applied on the </w:t>
      </w:r>
      <w:r w:rsidRPr="00AB3126">
        <w:rPr>
          <w:rFonts w:hint="eastAsia"/>
          <w:lang w:val="en-US"/>
        </w:rPr>
        <w:t>cell</w:t>
      </w:r>
      <w:r w:rsidRPr="00AB3126">
        <w:rPr>
          <w:lang w:val="en-US"/>
        </w:rPr>
        <w:t>, and R</w:t>
      </w:r>
      <w:r w:rsidRPr="00AB3126">
        <w:rPr>
          <w:vertAlign w:val="subscript"/>
          <w:lang w:val="en-US"/>
        </w:rPr>
        <w:t>0</w:t>
      </w:r>
      <w:r w:rsidRPr="00AB3126">
        <w:rPr>
          <w:lang w:val="en-US"/>
        </w:rPr>
        <w:t xml:space="preserve"> and </w:t>
      </w:r>
      <w:proofErr w:type="spellStart"/>
      <w:r w:rsidRPr="00AB3126">
        <w:rPr>
          <w:lang w:val="en-US"/>
        </w:rPr>
        <w:t>R</w:t>
      </w:r>
      <w:r w:rsidRPr="00AB3126">
        <w:rPr>
          <w:vertAlign w:val="subscript"/>
          <w:lang w:val="en-US"/>
        </w:rPr>
        <w:t>ss</w:t>
      </w:r>
      <w:proofErr w:type="spellEnd"/>
      <w:r w:rsidRPr="00AB3126">
        <w:rPr>
          <w:lang w:val="en-US"/>
        </w:rPr>
        <w:t xml:space="preserve"> are the initial and steady-state resistance.</w:t>
      </w:r>
      <w:r w:rsidRPr="00AB3126">
        <w:rPr>
          <w:rFonts w:hint="eastAsia"/>
          <w:lang w:val="en-US"/>
        </w:rPr>
        <w:t xml:space="preserve"> </w:t>
      </w:r>
    </w:p>
    <w:p w14:paraId="3E9DD0E3" w14:textId="77777777" w:rsidR="00AB3126" w:rsidRPr="00AB3126" w:rsidRDefault="00AB3126" w:rsidP="00555B75">
      <w:pPr>
        <w:spacing w:line="360" w:lineRule="auto"/>
        <w:jc w:val="both"/>
        <w:rPr>
          <w:lang w:val="en-US"/>
        </w:rPr>
      </w:pPr>
      <w:r w:rsidRPr="00AB3126">
        <w:rPr>
          <w:lang w:val="en-US"/>
        </w:rPr>
        <w:t>The symmetric Li</w:t>
      </w:r>
      <w:r w:rsidRPr="00AB3126">
        <w:rPr>
          <w:rFonts w:hint="eastAsia"/>
          <w:lang w:val="en-US"/>
        </w:rPr>
        <w:t>||</w:t>
      </w:r>
      <w:r w:rsidRPr="00AB3126">
        <w:rPr>
          <w:lang w:val="en-US"/>
        </w:rPr>
        <w:t>Li cells with different electrolytes were assembled for constant current charging and discharging performance on the LAND CT2001A battery test system at a current density of 0.1 mA cm</w:t>
      </w:r>
      <w:r w:rsidRPr="00AB3126">
        <w:rPr>
          <w:vertAlign w:val="superscript"/>
          <w:lang w:val="en-US"/>
        </w:rPr>
        <w:t>−2</w:t>
      </w:r>
      <w:r w:rsidRPr="00AB3126">
        <w:rPr>
          <w:lang w:val="en-US"/>
        </w:rPr>
        <w:t xml:space="preserve">. </w:t>
      </w:r>
    </w:p>
    <w:p w14:paraId="47637473" w14:textId="77777777" w:rsidR="00AB3126" w:rsidRPr="00AB3126" w:rsidRDefault="00AB3126" w:rsidP="00555B75">
      <w:pPr>
        <w:spacing w:line="360" w:lineRule="auto"/>
        <w:jc w:val="both"/>
        <w:rPr>
          <w:lang w:val="en-US"/>
        </w:rPr>
      </w:pPr>
    </w:p>
    <w:p w14:paraId="4D772D67" w14:textId="77777777" w:rsidR="00AB3126" w:rsidRPr="00AB3126" w:rsidRDefault="00AB3126" w:rsidP="00555B75">
      <w:pPr>
        <w:spacing w:line="360" w:lineRule="auto"/>
        <w:jc w:val="both"/>
        <w:rPr>
          <w:b/>
          <w:bCs/>
          <w:lang w:val="en-US"/>
        </w:rPr>
      </w:pPr>
      <w:r w:rsidRPr="00AB3126">
        <w:rPr>
          <w:b/>
          <w:bCs/>
          <w:lang w:val="en-US"/>
        </w:rPr>
        <w:t>Batteries Assembly and Electrochemical Characterization</w:t>
      </w:r>
    </w:p>
    <w:p w14:paraId="0A0703C1" w14:textId="3553C060" w:rsidR="00AB3126" w:rsidRPr="00AB3126" w:rsidRDefault="00AB3126" w:rsidP="00323233">
      <w:pPr>
        <w:spacing w:line="360" w:lineRule="auto"/>
        <w:ind w:firstLineChars="100" w:firstLine="240"/>
        <w:jc w:val="both"/>
        <w:rPr>
          <w:lang w:val="en-US"/>
        </w:rPr>
      </w:pPr>
      <w:r w:rsidRPr="00AB3126">
        <w:rPr>
          <w:lang w:val="en-US"/>
        </w:rPr>
        <w:t xml:space="preserve">The solid-state lithium metal </w:t>
      </w:r>
      <w:r w:rsidRPr="00AB3126">
        <w:rPr>
          <w:rFonts w:hint="eastAsia"/>
          <w:lang w:val="en-US"/>
        </w:rPr>
        <w:t>batteries</w:t>
      </w:r>
      <w:r w:rsidRPr="00AB3126">
        <w:rPr>
          <w:lang w:val="en-US"/>
        </w:rPr>
        <w:t xml:space="preserve"> w</w:t>
      </w:r>
      <w:r w:rsidRPr="00AB3126">
        <w:rPr>
          <w:rFonts w:hint="eastAsia"/>
          <w:lang w:val="en-US"/>
        </w:rPr>
        <w:t>ere</w:t>
      </w:r>
      <w:r w:rsidRPr="00AB3126">
        <w:rPr>
          <w:lang w:val="en-US"/>
        </w:rPr>
        <w:t xml:space="preserve"> prepared b</w:t>
      </w:r>
      <w:r w:rsidRPr="00AB3126">
        <w:rPr>
          <w:rFonts w:hint="eastAsia"/>
          <w:lang w:val="en-US"/>
        </w:rPr>
        <w:t>y</w:t>
      </w:r>
      <w:r w:rsidRPr="00AB3126">
        <w:rPr>
          <w:lang w:val="en-US"/>
        </w:rPr>
        <w:t xml:space="preserve"> using different electrolytes, using LiFePO</w:t>
      </w:r>
      <w:r w:rsidRPr="00AB3126">
        <w:rPr>
          <w:vertAlign w:val="subscript"/>
          <w:lang w:val="en-US"/>
        </w:rPr>
        <w:t>4</w:t>
      </w:r>
      <w:r w:rsidRPr="00AB3126">
        <w:rPr>
          <w:lang w:val="en-US"/>
        </w:rPr>
        <w:t xml:space="preserve"> </w:t>
      </w:r>
      <w:r w:rsidRPr="00AB3126">
        <w:rPr>
          <w:rFonts w:hint="eastAsia"/>
          <w:lang w:val="en-US"/>
        </w:rPr>
        <w:t>(LFP)</w:t>
      </w:r>
      <w:r w:rsidRPr="00AB3126">
        <w:rPr>
          <w:lang w:val="en-US"/>
        </w:rPr>
        <w:t xml:space="preserve"> and NCM811 as cathode material and lithium metal with thickness of 60 </w:t>
      </w:r>
      <w:r w:rsidRPr="00AF3310">
        <w:rPr>
          <w:lang w:val="en-US"/>
        </w:rPr>
        <w:t>μm</w:t>
      </w:r>
      <w:r w:rsidRPr="00AB3126">
        <w:rPr>
          <w:lang w:val="en-US"/>
        </w:rPr>
        <w:t xml:space="preserve"> as anode respectively. A small amount of liquid electrolyte (5 </w:t>
      </w:r>
      <w:proofErr w:type="spellStart"/>
      <w:r w:rsidRPr="00AB3126">
        <w:rPr>
          <w:lang w:val="en-US"/>
        </w:rPr>
        <w:t>μL</w:t>
      </w:r>
      <w:proofErr w:type="spellEnd"/>
      <w:r w:rsidRPr="00AB3126">
        <w:rPr>
          <w:lang w:val="en-US"/>
        </w:rPr>
        <w:t>, LiPF</w:t>
      </w:r>
      <w:r w:rsidRPr="000345C7">
        <w:rPr>
          <w:vertAlign w:val="subscript"/>
          <w:lang w:val="en-US"/>
        </w:rPr>
        <w:t>6</w:t>
      </w:r>
      <w:r w:rsidRPr="00AB3126">
        <w:rPr>
          <w:lang w:val="en-US"/>
        </w:rPr>
        <w:t xml:space="preserve"> in EC/DMC/EMC + 2%VC) </w:t>
      </w:r>
      <w:r w:rsidRPr="00AB3126">
        <w:rPr>
          <w:rFonts w:hint="eastAsia"/>
          <w:lang w:val="en-US"/>
        </w:rPr>
        <w:t>was</w:t>
      </w:r>
      <w:r w:rsidRPr="00AB3126">
        <w:rPr>
          <w:lang w:val="en-US"/>
        </w:rPr>
        <w:t xml:space="preserve"> dripped to the PLCN/NCM811 interface for better contact at room temperature. The </w:t>
      </w:r>
      <w:bookmarkStart w:id="4" w:name="OLE_LINK8"/>
      <w:r w:rsidRPr="00AB3126">
        <w:rPr>
          <w:lang w:val="en-US"/>
        </w:rPr>
        <w:t>LFP</w:t>
      </w:r>
      <w:bookmarkEnd w:id="4"/>
      <w:r w:rsidRPr="00AB3126">
        <w:rPr>
          <w:lang w:val="en-US"/>
        </w:rPr>
        <w:t xml:space="preserve"> cathode consist of 70</w:t>
      </w:r>
      <w:r w:rsidR="00A86ACA" w:rsidRPr="00AD1B1B">
        <w:t>% wt</w:t>
      </w:r>
      <w:r w:rsidR="00A86ACA">
        <w:t>.</w:t>
      </w:r>
      <w:r w:rsidRPr="00AB3126">
        <w:rPr>
          <w:lang w:val="en-US"/>
        </w:rPr>
        <w:t xml:space="preserve"> LFP, 20</w:t>
      </w:r>
      <w:r w:rsidR="00A86ACA" w:rsidRPr="00AD1B1B">
        <w:t>% wt</w:t>
      </w:r>
      <w:r w:rsidR="00A86ACA">
        <w:t>.</w:t>
      </w:r>
      <w:r w:rsidRPr="00AB3126">
        <w:rPr>
          <w:lang w:val="en-US"/>
        </w:rPr>
        <w:t xml:space="preserve"> </w:t>
      </w:r>
      <w:bookmarkStart w:id="5" w:name="_Hlk158478166"/>
      <w:r w:rsidR="00AF3310" w:rsidRPr="00AF3310">
        <w:rPr>
          <w:lang w:val="en-US"/>
        </w:rPr>
        <w:t>acetylene</w:t>
      </w:r>
      <w:bookmarkEnd w:id="5"/>
      <w:r w:rsidRPr="00AB3126">
        <w:rPr>
          <w:lang w:val="en-US"/>
        </w:rPr>
        <w:t xml:space="preserve"> black</w:t>
      </w:r>
      <w:r w:rsidRPr="00AB3126">
        <w:rPr>
          <w:rFonts w:hint="eastAsia"/>
          <w:lang w:val="en-US"/>
        </w:rPr>
        <w:t>，</w:t>
      </w:r>
      <w:r w:rsidRPr="00AB3126">
        <w:rPr>
          <w:lang w:val="en-US"/>
        </w:rPr>
        <w:t>5</w:t>
      </w:r>
      <w:r w:rsidR="00A86ACA" w:rsidRPr="00AD1B1B">
        <w:t>% wt</w:t>
      </w:r>
      <w:r w:rsidR="00A86ACA">
        <w:t>.</w:t>
      </w:r>
      <w:r w:rsidRPr="00AB3126">
        <w:rPr>
          <w:lang w:val="en-US"/>
        </w:rPr>
        <w:t xml:space="preserve"> PL (EO:</w:t>
      </w:r>
      <w:r w:rsidRPr="00AB3126">
        <w:rPr>
          <w:rFonts w:hint="eastAsia"/>
          <w:lang w:val="en-US"/>
        </w:rPr>
        <w:t xml:space="preserve"> </w:t>
      </w:r>
      <w:r w:rsidRPr="00AB3126">
        <w:rPr>
          <w:lang w:val="en-US"/>
        </w:rPr>
        <w:t>Li = 8)</w:t>
      </w:r>
      <w:r w:rsidRPr="00AB3126">
        <w:rPr>
          <w:rFonts w:hint="eastAsia"/>
          <w:lang w:val="en-US"/>
        </w:rPr>
        <w:t xml:space="preserve"> and </w:t>
      </w:r>
      <w:r w:rsidRPr="00AB3126">
        <w:rPr>
          <w:lang w:val="en-US"/>
        </w:rPr>
        <w:t>5</w:t>
      </w:r>
      <w:r w:rsidR="00A86ACA" w:rsidRPr="00AD1B1B">
        <w:t>% wt</w:t>
      </w:r>
      <w:r w:rsidR="00A86ACA">
        <w:t>.</w:t>
      </w:r>
      <w:r w:rsidRPr="00AB3126">
        <w:rPr>
          <w:lang w:val="en-US"/>
        </w:rPr>
        <w:t xml:space="preserve"> PVDF. The mass loading of LFP is about 1.</w:t>
      </w:r>
      <w:r w:rsidRPr="00AB3126">
        <w:rPr>
          <w:rFonts w:hint="eastAsia"/>
          <w:lang w:val="en-US"/>
        </w:rPr>
        <w:t>0</w:t>
      </w:r>
      <w:r w:rsidRPr="00AB3126">
        <w:rPr>
          <w:lang w:val="en-US"/>
        </w:rPr>
        <w:t>-</w:t>
      </w:r>
      <w:r w:rsidRPr="00AB3126">
        <w:rPr>
          <w:rFonts w:hint="eastAsia"/>
          <w:lang w:val="en-US"/>
        </w:rPr>
        <w:t xml:space="preserve">1.5 </w:t>
      </w:r>
      <w:r w:rsidRPr="00AB3126">
        <w:rPr>
          <w:lang w:val="en-US"/>
        </w:rPr>
        <w:t>mg cm</w:t>
      </w:r>
      <w:r w:rsidRPr="00AB3126">
        <w:rPr>
          <w:vertAlign w:val="superscript"/>
          <w:lang w:val="en-US"/>
        </w:rPr>
        <w:t>−2</w:t>
      </w:r>
      <w:r w:rsidRPr="00AB3126">
        <w:rPr>
          <w:lang w:val="en-US"/>
        </w:rPr>
        <w:t xml:space="preserve">. The </w:t>
      </w:r>
      <w:bookmarkStart w:id="6" w:name="_Hlk148686168"/>
      <w:r w:rsidRPr="00AB3126">
        <w:rPr>
          <w:lang w:val="en-US"/>
        </w:rPr>
        <w:t xml:space="preserve">NCM811 </w:t>
      </w:r>
      <w:bookmarkEnd w:id="6"/>
      <w:r w:rsidRPr="00AB3126">
        <w:rPr>
          <w:lang w:val="en-US"/>
        </w:rPr>
        <w:t>cathode consist of 80</w:t>
      </w:r>
      <w:r w:rsidR="00A86ACA" w:rsidRPr="00AD1B1B">
        <w:t>% wt</w:t>
      </w:r>
      <w:r w:rsidR="00A86ACA">
        <w:t>.</w:t>
      </w:r>
      <w:r w:rsidRPr="00AB3126">
        <w:rPr>
          <w:lang w:val="en-US"/>
        </w:rPr>
        <w:t xml:space="preserve"> NCM, 10</w:t>
      </w:r>
      <w:r w:rsidR="00A86ACA" w:rsidRPr="00AD1B1B">
        <w:t>% wt</w:t>
      </w:r>
      <w:r w:rsidR="00A86ACA">
        <w:t>.</w:t>
      </w:r>
      <w:r w:rsidRPr="00AB3126">
        <w:rPr>
          <w:lang w:val="en-US"/>
        </w:rPr>
        <w:t xml:space="preserve"> </w:t>
      </w:r>
      <w:r w:rsidR="00AF3310" w:rsidRPr="00AF3310">
        <w:rPr>
          <w:lang w:val="en-US"/>
        </w:rPr>
        <w:t>acetylene</w:t>
      </w:r>
      <w:r w:rsidRPr="00AB3126">
        <w:rPr>
          <w:lang w:val="en-US"/>
        </w:rPr>
        <w:t xml:space="preserve"> black</w:t>
      </w:r>
      <w:r w:rsidRPr="00AB3126">
        <w:rPr>
          <w:rFonts w:hint="eastAsia"/>
          <w:lang w:val="en-US"/>
        </w:rPr>
        <w:t>，</w:t>
      </w:r>
      <w:r w:rsidRPr="00AB3126">
        <w:rPr>
          <w:lang w:val="en-US"/>
        </w:rPr>
        <w:t>5</w:t>
      </w:r>
      <w:r w:rsidR="00A86ACA" w:rsidRPr="00AD1B1B">
        <w:t>% wt</w:t>
      </w:r>
      <w:r w:rsidR="00A86ACA">
        <w:t>.</w:t>
      </w:r>
      <w:r w:rsidRPr="00AB3126">
        <w:rPr>
          <w:lang w:val="en-US"/>
        </w:rPr>
        <w:t xml:space="preserve"> PL (EO: Li = 8) and 5</w:t>
      </w:r>
      <w:r w:rsidR="00A86ACA" w:rsidRPr="00AD1B1B">
        <w:t>% wt</w:t>
      </w:r>
      <w:r w:rsidR="00A86ACA">
        <w:t>.</w:t>
      </w:r>
      <w:r w:rsidRPr="00AB3126">
        <w:rPr>
          <w:lang w:val="en-US"/>
        </w:rPr>
        <w:t xml:space="preserve"> PVDF. The mass loading of NCM is about 2.0 -2.7 mg cm</w:t>
      </w:r>
      <w:r w:rsidRPr="00AB3126">
        <w:rPr>
          <w:vertAlign w:val="superscript"/>
          <w:lang w:val="en-US"/>
        </w:rPr>
        <w:t>−2</w:t>
      </w:r>
      <w:r w:rsidRPr="00AB3126">
        <w:rPr>
          <w:lang w:val="en-US"/>
        </w:rPr>
        <w:t xml:space="preserve">. The solid-state lithium </w:t>
      </w:r>
      <w:r w:rsidRPr="00AB3126">
        <w:rPr>
          <w:rFonts w:hint="eastAsia"/>
          <w:lang w:val="en-US"/>
        </w:rPr>
        <w:t>batteries</w:t>
      </w:r>
      <w:r w:rsidRPr="00AB3126">
        <w:rPr>
          <w:lang w:val="en-US"/>
        </w:rPr>
        <w:t xml:space="preserve"> were assembled in glove box </w:t>
      </w:r>
      <w:r w:rsidRPr="00AB3126">
        <w:rPr>
          <w:rFonts w:hint="eastAsia"/>
          <w:lang w:val="en-US"/>
        </w:rPr>
        <w:t>with</w:t>
      </w:r>
      <w:r w:rsidRPr="00AB3126">
        <w:rPr>
          <w:lang w:val="en-US"/>
        </w:rPr>
        <w:t xml:space="preserve"> </w:t>
      </w:r>
      <w:proofErr w:type="spellStart"/>
      <w:r w:rsidRPr="00AB3126">
        <w:rPr>
          <w:lang w:val="en-US"/>
        </w:rPr>
        <w:t>Ar</w:t>
      </w:r>
      <w:proofErr w:type="spellEnd"/>
      <w:r w:rsidRPr="00AB3126">
        <w:rPr>
          <w:lang w:val="en-US"/>
        </w:rPr>
        <w:t xml:space="preserve"> atmosphere.</w:t>
      </w:r>
    </w:p>
    <w:p w14:paraId="71358948" w14:textId="39393E26" w:rsidR="00AB3126" w:rsidRDefault="00AB3126" w:rsidP="00555B75">
      <w:pPr>
        <w:spacing w:line="360" w:lineRule="auto"/>
        <w:jc w:val="both"/>
        <w:rPr>
          <w:lang w:val="en-US"/>
        </w:rPr>
      </w:pPr>
      <w:r w:rsidRPr="00AB3126">
        <w:rPr>
          <w:lang w:val="en-US"/>
        </w:rPr>
        <w:t xml:space="preserve">The cycling performances of solid-state lithium </w:t>
      </w:r>
      <w:r w:rsidRPr="00AB3126">
        <w:rPr>
          <w:rFonts w:hint="eastAsia"/>
          <w:lang w:val="en-US"/>
        </w:rPr>
        <w:t>batteries</w:t>
      </w:r>
      <w:r w:rsidRPr="00AB3126">
        <w:rPr>
          <w:lang w:val="en-US"/>
        </w:rPr>
        <w:t xml:space="preserve"> (LFP||L</w:t>
      </w:r>
      <w:r w:rsidRPr="00AB3126">
        <w:rPr>
          <w:rFonts w:hint="eastAsia"/>
          <w:lang w:val="en-US"/>
        </w:rPr>
        <w:t>i</w:t>
      </w:r>
      <w:r w:rsidRPr="00AB3126">
        <w:rPr>
          <w:lang w:val="en-US"/>
        </w:rPr>
        <w:t>) at 60 °C were acquired at 0.2</w:t>
      </w:r>
      <w:r w:rsidRPr="00AB3126">
        <w:rPr>
          <w:rFonts w:hint="eastAsia"/>
          <w:lang w:val="en-US"/>
        </w:rPr>
        <w:t xml:space="preserve"> </w:t>
      </w:r>
      <w:r w:rsidRPr="00AB3126">
        <w:rPr>
          <w:lang w:val="en-US"/>
        </w:rPr>
        <w:t>C and 0.5 C with</w:t>
      </w:r>
      <w:r w:rsidRPr="00AB3126">
        <w:rPr>
          <w:rFonts w:hint="eastAsia"/>
          <w:lang w:val="en-US"/>
        </w:rPr>
        <w:t>in</w:t>
      </w:r>
      <w:r w:rsidRPr="00AB3126">
        <w:rPr>
          <w:lang w:val="en-US"/>
        </w:rPr>
        <w:t xml:space="preserve"> voltage range of 2.</w:t>
      </w:r>
      <w:r w:rsidRPr="00AB3126">
        <w:rPr>
          <w:rFonts w:hint="eastAsia"/>
          <w:lang w:val="en-US"/>
        </w:rPr>
        <w:t>7</w:t>
      </w:r>
      <w:r w:rsidRPr="00AB3126">
        <w:rPr>
          <w:lang w:val="en-US"/>
        </w:rPr>
        <w:t xml:space="preserve">-4.0 V and 1 C corresponds to 170 </w:t>
      </w:r>
      <w:proofErr w:type="spellStart"/>
      <w:r w:rsidRPr="00AB3126">
        <w:rPr>
          <w:lang w:val="en-US"/>
        </w:rPr>
        <w:t>mAh</w:t>
      </w:r>
      <w:proofErr w:type="spellEnd"/>
      <w:r w:rsidRPr="00AB3126">
        <w:rPr>
          <w:lang w:val="en-US"/>
        </w:rPr>
        <w:t xml:space="preserve"> g</w:t>
      </w:r>
      <w:r w:rsidRPr="00AB3126">
        <w:rPr>
          <w:vertAlign w:val="superscript"/>
          <w:lang w:val="en-US"/>
        </w:rPr>
        <w:t>-1</w:t>
      </w:r>
      <w:r w:rsidRPr="00AB3126">
        <w:rPr>
          <w:lang w:val="en-US"/>
        </w:rPr>
        <w:t xml:space="preserve">. </w:t>
      </w:r>
      <w:r w:rsidRPr="00AB3126">
        <w:rPr>
          <w:rFonts w:hint="eastAsia"/>
          <w:lang w:val="en-US"/>
        </w:rPr>
        <w:t xml:space="preserve">Batteries for cycling test were first cycled twice at 0.1 C and then tested at the corresponding rate. </w:t>
      </w:r>
      <w:r w:rsidRPr="00AB3126">
        <w:rPr>
          <w:lang w:val="en-US"/>
        </w:rPr>
        <w:t xml:space="preserve">The rate performances were obtained from 0.1 C to </w:t>
      </w:r>
      <w:r w:rsidRPr="00AB3126">
        <w:rPr>
          <w:rFonts w:hint="eastAsia"/>
          <w:lang w:val="en-US"/>
        </w:rPr>
        <w:t>2</w:t>
      </w:r>
      <w:r w:rsidRPr="00AB3126">
        <w:rPr>
          <w:lang w:val="en-US"/>
        </w:rPr>
        <w:t xml:space="preserve"> C at 60 °C</w:t>
      </w:r>
      <w:bookmarkStart w:id="7" w:name="OLE_LINK15"/>
      <w:r w:rsidRPr="00AB3126">
        <w:rPr>
          <w:lang w:val="en-US"/>
        </w:rPr>
        <w:t>.</w:t>
      </w:r>
      <w:bookmarkEnd w:id="7"/>
      <w:r w:rsidRPr="00AB3126">
        <w:rPr>
          <w:rFonts w:hint="eastAsia"/>
          <w:lang w:val="en-US"/>
        </w:rPr>
        <w:t xml:space="preserve"> </w:t>
      </w:r>
      <w:r w:rsidRPr="00AB3126">
        <w:rPr>
          <w:lang w:val="en-US"/>
        </w:rPr>
        <w:t xml:space="preserve">The cycle of NCM811||(PLCN)||Li batteries were tested at 0.5 C between 2.7 and 4.2 V within 1 C corresponds to 180 </w:t>
      </w:r>
      <w:proofErr w:type="spellStart"/>
      <w:r w:rsidRPr="00AB3126">
        <w:rPr>
          <w:lang w:val="en-US"/>
        </w:rPr>
        <w:t>mAh</w:t>
      </w:r>
      <w:proofErr w:type="spellEnd"/>
      <w:r w:rsidRPr="00AB3126">
        <w:rPr>
          <w:lang w:val="en-US"/>
        </w:rPr>
        <w:t xml:space="preserve"> g</w:t>
      </w:r>
      <w:r w:rsidRPr="00AB3126">
        <w:rPr>
          <w:vertAlign w:val="superscript"/>
          <w:lang w:val="en-US"/>
        </w:rPr>
        <w:t>-1</w:t>
      </w:r>
      <w:r w:rsidRPr="00AB3126">
        <w:rPr>
          <w:lang w:val="en-US"/>
        </w:rPr>
        <w:t xml:space="preserve"> at room temperature. The rate performance of NCM811||(PLCN)||Li batteries were tested from 0.1 C to </w:t>
      </w:r>
      <w:r w:rsidRPr="00AB3126">
        <w:rPr>
          <w:rFonts w:hint="eastAsia"/>
          <w:lang w:val="en-US"/>
        </w:rPr>
        <w:t>2</w:t>
      </w:r>
      <w:r w:rsidRPr="00AB3126">
        <w:rPr>
          <w:lang w:val="en-US"/>
        </w:rPr>
        <w:t xml:space="preserve"> C with voltage range from 2.</w:t>
      </w:r>
      <w:r w:rsidRPr="00AB3126">
        <w:rPr>
          <w:rFonts w:hint="eastAsia"/>
          <w:lang w:val="en-US"/>
        </w:rPr>
        <w:t>7</w:t>
      </w:r>
      <w:r w:rsidRPr="00AB3126">
        <w:rPr>
          <w:lang w:val="en-US"/>
        </w:rPr>
        <w:t xml:space="preserve"> to 4.2 V at room temperature. All electrochemical tests of cells mentioned above were realized by the L</w:t>
      </w:r>
      <w:r w:rsidRPr="00AB3126">
        <w:rPr>
          <w:rFonts w:hint="eastAsia"/>
          <w:lang w:val="en-US"/>
        </w:rPr>
        <w:t>AND</w:t>
      </w:r>
      <w:r w:rsidRPr="00AB3126">
        <w:rPr>
          <w:lang w:val="en-US"/>
        </w:rPr>
        <w:t xml:space="preserve"> CT2001A battery testing system.</w:t>
      </w:r>
    </w:p>
    <w:p w14:paraId="71F62A67" w14:textId="77777777" w:rsidR="00323233" w:rsidRPr="00AB3126" w:rsidRDefault="00323233" w:rsidP="00555B75">
      <w:pPr>
        <w:spacing w:line="360" w:lineRule="auto"/>
        <w:jc w:val="both"/>
        <w:rPr>
          <w:lang w:val="en-US"/>
        </w:rPr>
      </w:pPr>
    </w:p>
    <w:p w14:paraId="2DE08E50" w14:textId="77777777" w:rsidR="00AB3126" w:rsidRPr="00AB3126" w:rsidRDefault="00AB3126" w:rsidP="00555B75">
      <w:pPr>
        <w:spacing w:line="360" w:lineRule="auto"/>
        <w:jc w:val="both"/>
        <w:rPr>
          <w:b/>
          <w:bCs/>
          <w:lang w:val="en-US"/>
        </w:rPr>
      </w:pPr>
      <w:r w:rsidRPr="00AB3126">
        <w:rPr>
          <w:b/>
          <w:bCs/>
          <w:lang w:val="en-US"/>
        </w:rPr>
        <w:t>Computational details</w:t>
      </w:r>
    </w:p>
    <w:p w14:paraId="1AC04FFB" w14:textId="05ACEAC1" w:rsidR="00AB3126" w:rsidRPr="00AB3126" w:rsidRDefault="00AB3126" w:rsidP="00323233">
      <w:pPr>
        <w:spacing w:line="360" w:lineRule="auto"/>
        <w:ind w:firstLineChars="100" w:firstLine="240"/>
        <w:jc w:val="both"/>
        <w:rPr>
          <w:lang w:val="en-US"/>
        </w:rPr>
      </w:pPr>
      <w:r w:rsidRPr="00AB3126">
        <w:rPr>
          <w:lang w:val="en-US"/>
        </w:rPr>
        <w:t xml:space="preserve">All DFT calculation were constructed and implemented in the </w:t>
      </w:r>
      <w:proofErr w:type="spellStart"/>
      <w:r w:rsidRPr="00AB3126">
        <w:rPr>
          <w:lang w:val="en-US"/>
        </w:rPr>
        <w:t>Vienma</w:t>
      </w:r>
      <w:proofErr w:type="spellEnd"/>
      <w:r w:rsidRPr="00AB3126">
        <w:rPr>
          <w:lang w:val="en-US"/>
        </w:rPr>
        <w:t xml:space="preserve"> ab initio simulation package (VASP)</w:t>
      </w:r>
      <w:r w:rsidRPr="00AB3126">
        <w:rPr>
          <w:rFonts w:hint="eastAsia"/>
          <w:lang w:val="en-US"/>
        </w:rPr>
        <w:fldChar w:fldCharType="begin"/>
      </w:r>
      <w:r w:rsidR="00540F7B">
        <w:rPr>
          <w:lang w:val="en-US"/>
        </w:rPr>
        <w:instrText xml:space="preserve"> ADDIN EN.CITE &lt;EndNote&gt;&lt;Cite&gt;&lt;Author&gt;G. Kresse av&lt;/Author&gt;&lt;Year&gt;1996&lt;/Year&gt;&lt;RecNum&gt;145&lt;/RecNum&gt;&lt;DisplayText&gt;[2, 3]&lt;/DisplayText&gt;&lt;record&gt;&lt;rec-number&gt;145&lt;/rec-number&gt;&lt;foreign-keys&gt;&lt;key app="EN" db-id="af9xpxwsdsptfqe05piva59vsdx9xrf0pxxw" timestamp="0"&gt;145&lt;/key&gt;&lt;/foreign-keys&gt;&lt;ref-type name="Journal Article"&gt;17&lt;/ref-type&gt;&lt;contributors&gt;&lt;authors&gt;&lt;author&gt;G. Kresse av, &lt;/author&gt;&lt;author&gt;J. Furthmiiller&lt;/author&gt;&lt;/authors&gt;&lt;/contributors&gt;&lt;titles&gt;&lt;title&gt;Efficiency of ab-initio total energy calculations for metals and semiconductors using a plane-wave basis set&lt;/title&gt;&lt;secondary-title&gt;Comp. Mater. Sci.&lt;/secondary-title&gt;&lt;/titles&gt;&lt;pages&gt;15-50&lt;/pages&gt;&lt;volume&gt;6&lt;/volume&gt;&lt;dates&gt;&lt;year&gt;1996&lt;/year&gt;&lt;/dates&gt;&lt;urls&gt;&lt;/urls&gt;&lt;/record&gt;&lt;/Cite&gt;&lt;Cite&gt;&lt;Author&gt;G. Kresse av&lt;/Author&gt;&lt;Year&gt;1996&lt;/Year&gt;&lt;RecNum&gt;146&lt;/RecNum&gt;&lt;record&gt;&lt;rec-number&gt;146&lt;/rec-number&gt;&lt;foreign-keys&gt;&lt;key app="EN" db-id="af9xpxwsdsptfqe05piva59vsdx9xrf0pxxw" timestamp="0"&gt;146&lt;/key&gt;&lt;/foreign-keys&gt;&lt;ref-type name="Journal Article"&gt;17&lt;/ref-type&gt;&lt;contributors&gt;&lt;authors&gt;&lt;author&gt;G. Kresse av, &lt;/author&gt;&lt;author&gt;J. Furthmiiller&lt;/author&gt;&lt;/authors&gt;&lt;/contributors&gt;&lt;titles&gt;&lt;title&gt;Efficient iterative schemes for ab initio total-energy calculations using a plane-wave basis set&lt;/title&gt;&lt;secondary-title&gt;Phys. Rev. B&lt;/secondary-title&gt;&lt;/titles&gt;&lt;pages&gt;11169-11186&lt;/pages&gt;&lt;volume&gt;54&lt;/volume&gt;&lt;dates&gt;&lt;year&gt;1996&lt;/year&gt;&lt;/dates&gt;&lt;urls&gt;&lt;/urls&gt;&lt;/record&gt;&lt;/Cite&gt;&lt;/EndNote&gt;</w:instrText>
      </w:r>
      <w:r w:rsidRPr="00AB3126">
        <w:rPr>
          <w:rFonts w:hint="eastAsia"/>
          <w:lang w:val="en-US"/>
        </w:rPr>
        <w:fldChar w:fldCharType="separate"/>
      </w:r>
      <w:r w:rsidR="00540F7B">
        <w:rPr>
          <w:noProof/>
          <w:lang w:val="en-US"/>
        </w:rPr>
        <w:t>[2, 3]</w:t>
      </w:r>
      <w:r w:rsidRPr="00AB3126">
        <w:rPr>
          <w:rFonts w:hint="eastAsia"/>
          <w:lang w:val="en-US"/>
        </w:rPr>
        <w:fldChar w:fldCharType="end"/>
      </w:r>
      <w:r w:rsidR="00AF60A4">
        <w:rPr>
          <w:lang w:val="en-US"/>
        </w:rPr>
        <w:t>.</w:t>
      </w:r>
      <w:r w:rsidRPr="00AB3126">
        <w:rPr>
          <w:rFonts w:hint="eastAsia"/>
          <w:lang w:val="en-US"/>
        </w:rPr>
        <w:t xml:space="preserve"> T</w:t>
      </w:r>
      <w:r w:rsidRPr="00AB3126">
        <w:rPr>
          <w:lang w:val="en-US"/>
        </w:rPr>
        <w:t xml:space="preserve">he electron exchange and correlation energy was treated within the </w:t>
      </w:r>
      <w:r w:rsidRPr="00AB3126">
        <w:rPr>
          <w:lang w:val="en-US"/>
        </w:rPr>
        <w:lastRenderedPageBreak/>
        <w:t xml:space="preserve">generalized gradient approximation in the </w:t>
      </w:r>
      <w:proofErr w:type="spellStart"/>
      <w:r w:rsidRPr="00AB3126">
        <w:rPr>
          <w:lang w:val="en-US"/>
        </w:rPr>
        <w:t>Perdew</w:t>
      </w:r>
      <w:proofErr w:type="spellEnd"/>
      <w:r w:rsidRPr="00AB3126">
        <w:rPr>
          <w:lang w:val="en-US"/>
        </w:rPr>
        <w:t>-Burke-</w:t>
      </w:r>
      <w:proofErr w:type="spellStart"/>
      <w:r w:rsidRPr="00AB3126">
        <w:rPr>
          <w:lang w:val="en-US"/>
        </w:rPr>
        <w:t>Ernzerhof</w:t>
      </w:r>
      <w:proofErr w:type="spellEnd"/>
      <w:r w:rsidRPr="00AB3126">
        <w:rPr>
          <w:lang w:val="en-US"/>
        </w:rPr>
        <w:t xml:space="preserve"> functional (GGA-PBE)</w:t>
      </w:r>
      <w:r w:rsidRPr="00AB3126">
        <w:rPr>
          <w:rFonts w:hint="eastAsia"/>
          <w:lang w:val="en-US"/>
        </w:rPr>
        <w:fldChar w:fldCharType="begin"/>
      </w:r>
      <w:r w:rsidR="00540F7B">
        <w:rPr>
          <w:lang w:val="en-US"/>
        </w:rPr>
        <w:instrText xml:space="preserve"> ADDIN EN.CITE &lt;EndNote&gt;&lt;Cite&gt;&lt;Author&gt;Perdew&lt;/Author&gt;&lt;Year&gt;1998&lt;/Year&gt;&lt;RecNum&gt;125&lt;/RecNum&gt;&lt;DisplayText&gt;[4]&lt;/DisplayText&gt;&lt;record&gt;&lt;rec-number&gt;125&lt;/rec-number&gt;&lt;foreign-keys&gt;&lt;key app="EN" db-id="af9xpxwsdsptfqe05piva59vsdx9xrf0pxxw" timestamp="0"&gt;125&lt;/key&gt;&lt;/foreign-keys&gt;&lt;ref-type name="Journal Article"&gt;17&lt;/ref-type&gt;&lt;contributors&gt;&lt;authors&gt;&lt;author&gt;Matthias Ernzerhof.&lt;/author&gt;&lt;author&gt; John P. Perdew&lt;/author&gt;&lt;/authors&gt;&lt;/contributors&gt;&lt;auth-address&gt;Department of Chemistry, Rice University, 6100 Main Street, Houston, Texas 77005-1892, USA. th4@rice.edu&lt;/auth-address&gt;&lt;titles&gt;&lt;title&gt;Generalized gradient approximation to the angle- and system-averaged exchange hole&lt;/title&gt;&lt;secondary-title&gt;J. Chem. Phys.&lt;/secondary-title&gt;&lt;/titles&gt;&lt;pages&gt;3313-3319&lt;/pages&gt;&lt;volume&gt;109&lt;/volume&gt;&lt;number&gt;9&lt;/number&gt;&lt;edition&gt;2008/05/27&lt;/edition&gt;&lt;keywords&gt;&lt;keyword&gt;Algorithms&lt;/keyword&gt;&lt;keyword&gt;Chemistry, Physical/*methods&lt;/keyword&gt;&lt;keyword&gt;Computer Simulation&lt;/keyword&gt;&lt;keyword&gt;Entropy&lt;/keyword&gt;&lt;keyword&gt;Models, Chemical&lt;/keyword&gt;&lt;keyword&gt;Models, Statistical&lt;/keyword&gt;&lt;keyword&gt;Models, Theoretical&lt;/keyword&gt;&lt;keyword&gt;Software&lt;/keyword&gt;&lt;keyword&gt;Thermodynamics&lt;/keyword&gt;&lt;/keywords&gt;&lt;dates&gt;&lt;year&gt;1998&lt;/year&gt;&lt;pub-dates&gt;&lt;date&gt;May 21&lt;/date&gt;&lt;/pub-dates&gt;&lt;/dates&gt;&lt;isbn&gt;0021-9606 (Print)&amp;#xD;1089-7690 (Electronic)&amp;#xD;0021-9606 (Linking)&lt;/isbn&gt;&lt;accession-num&gt;18500854&lt;/accession-num&gt;&lt;urls&gt;&lt;related-urls&gt;&lt;url&gt;https://www.ncbi.nlm.nih.gov/pubmed/18500854&lt;/url&gt;&lt;/related-urls&gt;&lt;/urls&gt;&lt;custom2&gt;PMC2812874&lt;/custom2&gt;&lt;electronic-resource-num&gt;10.1063/1.2921797&lt;/electronic-resource-num&gt;&lt;/record&gt;&lt;/Cite&gt;&lt;/EndNote&gt;</w:instrText>
      </w:r>
      <w:r w:rsidRPr="00AB3126">
        <w:rPr>
          <w:rFonts w:hint="eastAsia"/>
          <w:lang w:val="en-US"/>
        </w:rPr>
        <w:fldChar w:fldCharType="separate"/>
      </w:r>
      <w:r w:rsidR="00540F7B">
        <w:rPr>
          <w:noProof/>
          <w:lang w:val="en-US"/>
        </w:rPr>
        <w:t>[4]</w:t>
      </w:r>
      <w:r w:rsidRPr="00AB3126">
        <w:rPr>
          <w:rFonts w:hint="eastAsia"/>
          <w:lang w:val="en-US"/>
        </w:rPr>
        <w:fldChar w:fldCharType="end"/>
      </w:r>
      <w:r w:rsidR="00AF60A4">
        <w:rPr>
          <w:lang w:val="en-US"/>
        </w:rPr>
        <w:t>.</w:t>
      </w:r>
      <w:r w:rsidRPr="00AB3126">
        <w:rPr>
          <w:lang w:val="en-US"/>
        </w:rPr>
        <w:t xml:space="preserve"> The long-range dispersion interactions between adsorbates and surface was treated applying DFT-D3 method</w:t>
      </w:r>
      <w:r w:rsidRPr="00AB3126">
        <w:rPr>
          <w:rFonts w:hint="eastAsia"/>
          <w:lang w:val="en-US"/>
        </w:rPr>
        <w:fldChar w:fldCharType="begin"/>
      </w:r>
      <w:r w:rsidR="00540F7B">
        <w:rPr>
          <w:lang w:val="en-US"/>
        </w:rPr>
        <w:instrText xml:space="preserve"> ADDIN EN.CITE &lt;EndNote&gt;&lt;Cite&gt;&lt;Author&gt;Grimme&lt;/Author&gt;&lt;Year&gt;2010&lt;/Year&gt;&lt;RecNum&gt;126&lt;/RecNum&gt;&lt;DisplayText&gt;[5]&lt;/DisplayText&gt;&lt;record&gt;&lt;rec-number&gt;126&lt;/rec-number&gt;&lt;foreign-keys&gt;&lt;key app="EN" db-id="af9xpxwsdsptfqe05piva59vsdx9xrf0pxxw" timestamp="0"&gt;126&lt;/key&gt;&lt;/foreign-keys&gt;&lt;ref-type name="Journal Article"&gt;17&lt;/ref-type&gt;&lt;contributors&gt;&lt;authors&gt;&lt;author&gt;Grimme, S.&lt;/author&gt;&lt;author&gt;Antony, J.&lt;/author&gt;&lt;author&gt;Ehrlich, S.&lt;/author&gt;&lt;author&gt;Krieg, H.&lt;/author&gt;&lt;/authors&gt;&lt;/contributors&gt;&lt;auth-address&gt;Theoretische Organische Chemie, Organisch-Chemisches Institut, Universitat Munster, Germany. grimmes@uni-muenster.de&lt;/auth-address&gt;&lt;titles&gt;&lt;title&gt;A consistent and accurate ab initio parametrization of density functional dispersion correction (DFT-D) for the 94 elements H-Pu&lt;/title&gt;&lt;secondary-title&gt;J. Chem. Phys.&lt;/secondary-title&gt;&lt;/titles&gt;&lt;pages&gt;154104&lt;/pages&gt;&lt;volume&gt;132&lt;/volume&gt;&lt;number&gt;15&lt;/number&gt;&lt;edition&gt;2010/04/29&lt;/edition&gt;&lt;dates&gt;&lt;year&gt;2010&lt;/year&gt;&lt;pub-dates&gt;&lt;date&gt;Apr 21&lt;/date&gt;&lt;/pub-dates&gt;&lt;/dates&gt;&lt;isbn&gt;1089-7690 (Electronic)&amp;#xD;0021-9606 (Linking)&lt;/isbn&gt;&lt;accession-num&gt;20423165&lt;/accession-num&gt;&lt;urls&gt;&lt;related-urls&gt;&lt;url&gt;https://www.ncbi.nlm.nih.gov/pubmed/20423165&lt;/url&gt;&lt;/related-urls&gt;&lt;/urls&gt;&lt;electronic-resource-num&gt;10.1063/1.3382344&lt;/electronic-resource-num&gt;&lt;/record&gt;&lt;/Cite&gt;&lt;/EndNote&gt;</w:instrText>
      </w:r>
      <w:r w:rsidRPr="00AB3126">
        <w:rPr>
          <w:rFonts w:hint="eastAsia"/>
          <w:lang w:val="en-US"/>
        </w:rPr>
        <w:fldChar w:fldCharType="separate"/>
      </w:r>
      <w:r w:rsidR="00540F7B">
        <w:rPr>
          <w:noProof/>
          <w:lang w:val="en-US"/>
        </w:rPr>
        <w:t>[5]</w:t>
      </w:r>
      <w:r w:rsidRPr="00AB3126">
        <w:rPr>
          <w:rFonts w:hint="eastAsia"/>
          <w:lang w:val="en-US"/>
        </w:rPr>
        <w:fldChar w:fldCharType="end"/>
      </w:r>
      <w:r w:rsidR="00AF60A4">
        <w:rPr>
          <w:lang w:val="en-US"/>
        </w:rPr>
        <w:t>.</w:t>
      </w:r>
      <w:r w:rsidRPr="00AB3126">
        <w:rPr>
          <w:lang w:val="en-US"/>
        </w:rPr>
        <w:t xml:space="preserve"> The electrostatic potential</w:t>
      </w:r>
      <w:r w:rsidRPr="00AB3126">
        <w:rPr>
          <w:rFonts w:hint="eastAsia"/>
          <w:lang w:val="en-US"/>
        </w:rPr>
        <w:t>s (</w:t>
      </w:r>
      <w:r w:rsidRPr="00AB3126">
        <w:rPr>
          <w:lang w:val="en-US"/>
        </w:rPr>
        <w:t>ESPs</w:t>
      </w:r>
      <w:r w:rsidRPr="00AB3126">
        <w:rPr>
          <w:rFonts w:hint="eastAsia"/>
          <w:lang w:val="en-US"/>
        </w:rPr>
        <w:t>)</w:t>
      </w:r>
      <w:r w:rsidRPr="00AB3126">
        <w:rPr>
          <w:lang w:val="en-US"/>
        </w:rPr>
        <w:t xml:space="preserve"> </w:t>
      </w:r>
      <w:r w:rsidRPr="00AB3126">
        <w:rPr>
          <w:rFonts w:hint="eastAsia"/>
          <w:lang w:val="en-US"/>
        </w:rPr>
        <w:t>of</w:t>
      </w:r>
      <w:r w:rsidRPr="00AB3126">
        <w:rPr>
          <w:lang w:val="en-US"/>
        </w:rPr>
        <w:t xml:space="preserve"> TFSI</w:t>
      </w:r>
      <w:r w:rsidRPr="00AB3126">
        <w:rPr>
          <w:vertAlign w:val="superscript"/>
          <w:lang w:val="en-US"/>
        </w:rPr>
        <w:t>-</w:t>
      </w:r>
      <w:r w:rsidRPr="00AB3126">
        <w:rPr>
          <w:lang w:val="en-US"/>
        </w:rPr>
        <w:t>, PEO and Ca</w:t>
      </w:r>
      <w:r w:rsidRPr="00AB3126">
        <w:rPr>
          <w:vertAlign w:val="subscript"/>
          <w:lang w:val="en-US"/>
        </w:rPr>
        <w:t>2</w:t>
      </w:r>
      <w:r w:rsidRPr="00AB3126">
        <w:rPr>
          <w:lang w:val="en-US"/>
        </w:rPr>
        <w:t>Nb</w:t>
      </w:r>
      <w:r w:rsidRPr="00AB3126">
        <w:rPr>
          <w:vertAlign w:val="subscript"/>
          <w:lang w:val="en-US"/>
        </w:rPr>
        <w:t>3</w:t>
      </w:r>
      <w:r w:rsidRPr="00AB3126">
        <w:rPr>
          <w:lang w:val="en-US"/>
        </w:rPr>
        <w:t>O</w:t>
      </w:r>
      <w:r w:rsidRPr="00AB3126">
        <w:rPr>
          <w:vertAlign w:val="subscript"/>
          <w:lang w:val="en-US"/>
        </w:rPr>
        <w:t>10</w:t>
      </w:r>
      <w:r w:rsidRPr="00AB3126">
        <w:rPr>
          <w:lang w:val="en-US"/>
        </w:rPr>
        <w:t xml:space="preserve"> were respectively calculated by DMol3 module in MS. Two kinds of electrolyte systems, i.e. PL and PLCN, consisting of same numbers of compositions were respectively built into rectangular simulation boxes. The solutions </w:t>
      </w:r>
      <w:r w:rsidRPr="00AB3126">
        <w:rPr>
          <w:rFonts w:hint="eastAsia"/>
          <w:lang w:val="en-US"/>
        </w:rPr>
        <w:t xml:space="preserve">are </w:t>
      </w:r>
      <w:r w:rsidRPr="00AB3126">
        <w:rPr>
          <w:lang w:val="en-US"/>
        </w:rPr>
        <w:t xml:space="preserve">composed of 15 </w:t>
      </w:r>
      <w:proofErr w:type="spellStart"/>
      <w:r w:rsidRPr="00AB3126">
        <w:rPr>
          <w:lang w:val="en-US"/>
        </w:rPr>
        <w:t>LiTFSI</w:t>
      </w:r>
      <w:proofErr w:type="spellEnd"/>
      <w:r w:rsidRPr="00AB3126">
        <w:rPr>
          <w:lang w:val="en-US"/>
        </w:rPr>
        <w:t xml:space="preserve"> and 120 PEO molecules. The PEO single chain used in MD simulation is constructed by repeating 10 times of PEO unit. All MD simulations were carried out by </w:t>
      </w:r>
      <w:proofErr w:type="spellStart"/>
      <w:r w:rsidRPr="00AB3126">
        <w:rPr>
          <w:lang w:val="en-US"/>
        </w:rPr>
        <w:t>Forcite</w:t>
      </w:r>
      <w:proofErr w:type="spellEnd"/>
      <w:r w:rsidRPr="00AB3126">
        <w:rPr>
          <w:lang w:val="en-US"/>
        </w:rPr>
        <w:t xml:space="preserve"> module with universal force field parameters</w:t>
      </w:r>
      <w:r w:rsidRPr="00AB3126">
        <w:rPr>
          <w:rFonts w:hint="eastAsia"/>
          <w:lang w:val="en-US"/>
        </w:rPr>
        <w:fldChar w:fldCharType="begin"/>
      </w:r>
      <w:r w:rsidR="00540F7B">
        <w:rPr>
          <w:lang w:val="en-US"/>
        </w:rPr>
        <w:instrText xml:space="preserve"> ADDIN EN.CITE &lt;EndNote&gt;&lt;Cite&gt;&lt;Author&gt;Rappé&lt;/Author&gt;&lt;Year&gt;1992&lt;/Year&gt;&lt;RecNum&gt;137&lt;/RecNum&gt;&lt;DisplayText&gt;[6]&lt;/DisplayText&gt;&lt;record&gt;&lt;rec-number&gt;137&lt;/rec-number&gt;&lt;foreign-keys&gt;&lt;key app="EN" db-id="af9xpxwsdsptfqe05piva59vsdx9xrf0pxxw" timestamp="0"&gt;137&lt;/key&gt;&lt;/foreign-keys&gt;&lt;ref-type name="Journal Article"&gt;17&lt;/ref-type&gt;&lt;contributors&gt;&lt;authors&gt;&lt;author&gt; Rappé, A. K.&lt;/author&gt;&lt;author&gt;Casewit, C. J. &lt;/author&gt;&lt;author&gt;Colwell,  K. S.&lt;/author&gt;&lt;author&gt;Goddard, W. A. &lt;/author&gt;&lt;author&gt;Skiff, W. M. &lt;/author&gt;&lt;/authors&gt;&lt;/contributors&gt;&lt;titles&gt;&lt;title&gt;UFF, a full periodic table force field for molecular mechanics and molecular dynamics simulations&lt;/title&gt;&lt;secondary-title&gt;J. Am. Chem. Soc.&lt;/secondary-title&gt;&lt;/titles&gt;&lt;pages&gt;10024-10035&lt;/pages&gt;&lt;volume&gt;114&lt;/volume&gt;&lt;dates&gt;&lt;year&gt;1992&lt;/year&gt;&lt;/dates&gt;&lt;urls&gt;&lt;/urls&gt;&lt;/record&gt;&lt;/Cite&gt;&lt;/EndNote&gt;</w:instrText>
      </w:r>
      <w:r w:rsidRPr="00AB3126">
        <w:rPr>
          <w:rFonts w:hint="eastAsia"/>
          <w:lang w:val="en-US"/>
        </w:rPr>
        <w:fldChar w:fldCharType="separate"/>
      </w:r>
      <w:r w:rsidR="00540F7B">
        <w:rPr>
          <w:noProof/>
          <w:lang w:val="en-US"/>
        </w:rPr>
        <w:t>[6]</w:t>
      </w:r>
      <w:r w:rsidRPr="00AB3126">
        <w:rPr>
          <w:rFonts w:hint="eastAsia"/>
          <w:lang w:val="en-US"/>
        </w:rPr>
        <w:fldChar w:fldCharType="end"/>
      </w:r>
      <w:r w:rsidRPr="00AB3126">
        <w:rPr>
          <w:lang w:val="en-US"/>
        </w:rPr>
        <w:t xml:space="preserve"> in MS 2017</w:t>
      </w:r>
      <w:r w:rsidRPr="00AB3126">
        <w:rPr>
          <w:rFonts w:hint="eastAsia"/>
          <w:lang w:val="en-US"/>
        </w:rPr>
        <w:fldChar w:fldCharType="begin"/>
      </w:r>
      <w:r w:rsidR="00540F7B">
        <w:rPr>
          <w:lang w:val="en-US"/>
        </w:rPr>
        <w:instrText xml:space="preserve"> ADDIN EN.CITE &lt;EndNote&gt;&lt;Cite&gt;&lt;RecNum&gt;138&lt;/RecNum&gt;&lt;DisplayText&gt;[7]&lt;/DisplayText&gt;&lt;record&gt;&lt;rec-number&gt;138&lt;/rec-number&gt;&lt;foreign-keys&gt;&lt;key app="EN" db-id="af9xpxwsdsptfqe05piva59vsdx9xrf0pxxw" timestamp="0"&gt;138&lt;/key&gt;&lt;/foreign-keys&gt;&lt;ref-type name="Journal Article"&gt;17&lt;/ref-type&gt;&lt;contributors&gt;&lt;/contributors&gt;&lt;titles&gt;&lt;/titles&gt;&lt;pages&gt;Dassault Systemes BIOVIA, Materials Studio, 8.0, Dassault Systemes, San Diego,2017&lt;/pages&gt;&lt;dates&gt;&lt;/dates&gt;&lt;urls&gt;&lt;/urls&gt;&lt;electronic-resource-num&gt;10.1002/aenm.202203547&lt;/electronic-resource-num&gt;&lt;/record&gt;&lt;/Cite&gt;&lt;/EndNote&gt;</w:instrText>
      </w:r>
      <w:r w:rsidRPr="00AB3126">
        <w:rPr>
          <w:rFonts w:hint="eastAsia"/>
          <w:lang w:val="en-US"/>
        </w:rPr>
        <w:fldChar w:fldCharType="separate"/>
      </w:r>
      <w:r w:rsidR="00540F7B">
        <w:rPr>
          <w:noProof/>
          <w:lang w:val="en-US"/>
        </w:rPr>
        <w:t>[7]</w:t>
      </w:r>
      <w:r w:rsidRPr="00AB3126">
        <w:rPr>
          <w:rFonts w:hint="eastAsia"/>
          <w:lang w:val="en-US"/>
        </w:rPr>
        <w:fldChar w:fldCharType="end"/>
      </w:r>
      <w:r w:rsidR="00AF60A4">
        <w:rPr>
          <w:lang w:val="en-US"/>
        </w:rPr>
        <w:t>.</w:t>
      </w:r>
      <w:r w:rsidRPr="00AB3126">
        <w:rPr>
          <w:lang w:val="en-US"/>
        </w:rPr>
        <w:t xml:space="preserve"> Vander Waals and Coulomb interactions were respectively considered by atom based and Ewald methods with a cut-off value of 12.5 Å. Equations of motion were integrated with a time step of 1 fs. After energy minimization, each system was fully relaxed under periodic boundary conditions for 400 </w:t>
      </w:r>
      <w:proofErr w:type="spellStart"/>
      <w:r w:rsidRPr="00AB3126">
        <w:rPr>
          <w:lang w:val="en-US"/>
        </w:rPr>
        <w:t>ps</w:t>
      </w:r>
      <w:proofErr w:type="spellEnd"/>
      <w:r w:rsidRPr="00AB3126">
        <w:rPr>
          <w:lang w:val="en-US"/>
        </w:rPr>
        <w:t xml:space="preserve"> in the NVT (T = 298.0 K) ensemble using the Nose thermostat, which was long enough for system temperature, potential and total energy to get stable. The dynamic trajectory for each system was outputted at 4 </w:t>
      </w:r>
      <w:proofErr w:type="spellStart"/>
      <w:r w:rsidRPr="00AB3126">
        <w:rPr>
          <w:lang w:val="en-US"/>
        </w:rPr>
        <w:t>ps</w:t>
      </w:r>
      <w:proofErr w:type="spellEnd"/>
      <w:r w:rsidRPr="00AB3126">
        <w:rPr>
          <w:lang w:val="en-US"/>
        </w:rPr>
        <w:t xml:space="preserve"> interval and used for density distribution analysis along the vertical direction.</w:t>
      </w:r>
    </w:p>
    <w:p w14:paraId="6B0EB619" w14:textId="77777777" w:rsidR="00EC3895" w:rsidRDefault="00EC3895" w:rsidP="00555B75">
      <w:pPr>
        <w:spacing w:line="360" w:lineRule="auto"/>
        <w:jc w:val="both"/>
        <w:rPr>
          <w:b/>
          <w:bCs/>
          <w:color w:val="000000"/>
          <w:sz w:val="28"/>
          <w:szCs w:val="28"/>
        </w:rPr>
      </w:pPr>
    </w:p>
    <w:p w14:paraId="5EC91D82" w14:textId="33252DCF" w:rsidR="00AB3126" w:rsidRPr="00AB3126" w:rsidRDefault="00E32AB9" w:rsidP="00555B75">
      <w:pPr>
        <w:spacing w:line="360" w:lineRule="auto"/>
        <w:jc w:val="both"/>
        <w:rPr>
          <w:b/>
          <w:bCs/>
          <w:lang w:val="en-US"/>
        </w:rPr>
      </w:pPr>
      <w:r w:rsidRPr="00E32AB9">
        <w:rPr>
          <w:b/>
          <w:bCs/>
          <w:color w:val="000000"/>
          <w:sz w:val="28"/>
          <w:szCs w:val="28"/>
        </w:rPr>
        <w:t>Supplementary</w:t>
      </w:r>
      <w:r w:rsidR="00EC3895" w:rsidRPr="00EC3895">
        <w:rPr>
          <w:b/>
          <w:bCs/>
          <w:color w:val="000000"/>
          <w:sz w:val="28"/>
          <w:szCs w:val="28"/>
        </w:rPr>
        <w:t xml:space="preserve"> figures</w:t>
      </w:r>
    </w:p>
    <w:p w14:paraId="1D578628" w14:textId="1CB58F5D" w:rsidR="00EC3895" w:rsidRPr="001603D9" w:rsidRDefault="001603D9" w:rsidP="00555B75">
      <w:pPr>
        <w:spacing w:line="480" w:lineRule="auto"/>
        <w:jc w:val="center"/>
        <w:rPr>
          <w:b/>
          <w:lang w:val="en-US"/>
        </w:rPr>
      </w:pPr>
      <w:r>
        <w:rPr>
          <w:b/>
          <w:noProof/>
          <w:lang w:val="en-US"/>
        </w:rPr>
        <w:drawing>
          <wp:inline distT="0" distB="0" distL="0" distR="0" wp14:anchorId="7C49A8C4" wp14:editId="4F4E50FE">
            <wp:extent cx="4230094" cy="26176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4485" cy="2620414"/>
                    </a:xfrm>
                    <a:prstGeom prst="rect">
                      <a:avLst/>
                    </a:prstGeom>
                  </pic:spPr>
                </pic:pic>
              </a:graphicData>
            </a:graphic>
          </wp:inline>
        </w:drawing>
      </w:r>
    </w:p>
    <w:p w14:paraId="41C27403" w14:textId="77777777" w:rsidR="00EC3895" w:rsidRDefault="00EC3895" w:rsidP="00555B75">
      <w:pPr>
        <w:spacing w:line="480" w:lineRule="auto"/>
        <w:jc w:val="both"/>
      </w:pPr>
      <w:r w:rsidRPr="00332F00">
        <w:rPr>
          <w:b/>
        </w:rPr>
        <w:t xml:space="preserve">Figure </w:t>
      </w:r>
      <w:r>
        <w:rPr>
          <w:b/>
        </w:rPr>
        <w:t>S1</w:t>
      </w:r>
      <w:r w:rsidRPr="00D42A4E">
        <w:rPr>
          <w:b/>
        </w:rPr>
        <w:t>.</w:t>
      </w:r>
      <w:r w:rsidRPr="004307B0">
        <w:t xml:space="preserve"> (</w:t>
      </w:r>
      <w:r>
        <w:t>A</w:t>
      </w:r>
      <w:r w:rsidRPr="004307B0">
        <w:t>) TEM image and (</w:t>
      </w:r>
      <w:r>
        <w:t>B</w:t>
      </w:r>
      <w:r w:rsidRPr="004307B0">
        <w:t>) HRTEM images of CNO with inverse fast fourier transform (IFFT). (</w:t>
      </w:r>
      <w:r>
        <w:t>C</w:t>
      </w:r>
      <w:r w:rsidRPr="004307B0">
        <w:t>) SEM image. (</w:t>
      </w:r>
      <w:r>
        <w:t>D</w:t>
      </w:r>
      <w:r w:rsidRPr="004307B0">
        <w:t>) XRD pattern. (</w:t>
      </w:r>
      <w:r>
        <w:t>E</w:t>
      </w:r>
      <w:r w:rsidRPr="004307B0">
        <w:t>) AFM image of CNO.</w:t>
      </w:r>
    </w:p>
    <w:p w14:paraId="5BE97BDE" w14:textId="77777777" w:rsidR="00EC3895" w:rsidRPr="004307B0" w:rsidRDefault="00EC3895" w:rsidP="00555B75">
      <w:pPr>
        <w:spacing w:line="480" w:lineRule="auto"/>
        <w:jc w:val="both"/>
      </w:pPr>
    </w:p>
    <w:p w14:paraId="2741D941" w14:textId="255C2EA3" w:rsidR="00EC3895" w:rsidRPr="004307B0" w:rsidRDefault="001603D9" w:rsidP="00555B75">
      <w:pPr>
        <w:spacing w:line="480" w:lineRule="auto"/>
        <w:jc w:val="center"/>
      </w:pPr>
      <w:r>
        <w:rPr>
          <w:noProof/>
        </w:rPr>
        <w:lastRenderedPageBreak/>
        <w:drawing>
          <wp:inline distT="0" distB="0" distL="0" distR="0" wp14:anchorId="5C75E646" wp14:editId="0895EFA9">
            <wp:extent cx="3600000" cy="2752778"/>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752778"/>
                    </a:xfrm>
                    <a:prstGeom prst="rect">
                      <a:avLst/>
                    </a:prstGeom>
                  </pic:spPr>
                </pic:pic>
              </a:graphicData>
            </a:graphic>
          </wp:inline>
        </w:drawing>
      </w:r>
    </w:p>
    <w:p w14:paraId="243851C8" w14:textId="77777777" w:rsidR="00EC3895" w:rsidRPr="004307B0" w:rsidRDefault="00EC3895" w:rsidP="00555B75">
      <w:pPr>
        <w:spacing w:line="480" w:lineRule="auto"/>
        <w:jc w:val="both"/>
      </w:pPr>
      <w:r w:rsidRPr="00332F00">
        <w:rPr>
          <w:b/>
        </w:rPr>
        <w:t xml:space="preserve">Figure </w:t>
      </w:r>
      <w:r>
        <w:rPr>
          <w:b/>
        </w:rPr>
        <w:t>S2</w:t>
      </w:r>
      <w:r w:rsidRPr="00D42A4E">
        <w:rPr>
          <w:b/>
        </w:rPr>
        <w:t>.</w:t>
      </w:r>
      <w:r w:rsidRPr="004307B0">
        <w:t xml:space="preserve"> XPS spectra of the pure CNO nanosheets: (</w:t>
      </w:r>
      <w:r>
        <w:t>A</w:t>
      </w:r>
      <w:r w:rsidRPr="004307B0">
        <w:t xml:space="preserve">) XPS </w:t>
      </w:r>
      <w:r w:rsidRPr="00794973">
        <w:t>survey spectrum</w:t>
      </w:r>
      <w:r>
        <w:t>.</w:t>
      </w:r>
      <w:r w:rsidRPr="004307B0">
        <w:t xml:space="preserve"> (</w:t>
      </w:r>
      <w:r>
        <w:t>B</w:t>
      </w:r>
      <w:r w:rsidRPr="004307B0">
        <w:t>) Ca 2p, Nb 3d and O 1s</w:t>
      </w:r>
      <w:r w:rsidRPr="004307B0">
        <w:rPr>
          <w:rFonts w:hint="eastAsia"/>
        </w:rPr>
        <w:t xml:space="preserve"> spectra</w:t>
      </w:r>
      <w:r w:rsidRPr="004307B0">
        <w:t>.</w:t>
      </w:r>
    </w:p>
    <w:p w14:paraId="1FA61DDB" w14:textId="77777777" w:rsidR="00EC3895" w:rsidRPr="00794973" w:rsidRDefault="00EC3895" w:rsidP="00555B75">
      <w:pPr>
        <w:spacing w:line="480" w:lineRule="auto"/>
        <w:jc w:val="both"/>
      </w:pPr>
    </w:p>
    <w:p w14:paraId="42D416E0" w14:textId="77777777" w:rsidR="00EC3895" w:rsidRPr="004307B0" w:rsidRDefault="00EC3895" w:rsidP="00555B75">
      <w:pPr>
        <w:spacing w:line="480" w:lineRule="auto"/>
        <w:jc w:val="center"/>
      </w:pPr>
      <w:r w:rsidRPr="004307B0">
        <w:rPr>
          <w:noProof/>
        </w:rPr>
        <w:drawing>
          <wp:inline distT="0" distB="0" distL="0" distR="0" wp14:anchorId="0ADBD2ED" wp14:editId="2E377523">
            <wp:extent cx="1455089" cy="16277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953" cy="1630918"/>
                    </a:xfrm>
                    <a:prstGeom prst="rect">
                      <a:avLst/>
                    </a:prstGeom>
                  </pic:spPr>
                </pic:pic>
              </a:graphicData>
            </a:graphic>
          </wp:inline>
        </w:drawing>
      </w:r>
    </w:p>
    <w:p w14:paraId="5D7E71AE" w14:textId="77777777" w:rsidR="00EC3895" w:rsidRDefault="00EC3895" w:rsidP="00555B75">
      <w:pPr>
        <w:spacing w:line="480" w:lineRule="auto"/>
        <w:jc w:val="both"/>
      </w:pPr>
      <w:r w:rsidRPr="00332F00">
        <w:rPr>
          <w:b/>
        </w:rPr>
        <w:t xml:space="preserve">Figure </w:t>
      </w:r>
      <w:r>
        <w:rPr>
          <w:b/>
        </w:rPr>
        <w:t>S3</w:t>
      </w:r>
      <w:r w:rsidRPr="00D42A4E">
        <w:rPr>
          <w:b/>
        </w:rPr>
        <w:t>.</w:t>
      </w:r>
      <w:r w:rsidRPr="004307B0">
        <w:t xml:space="preserve"> Dispersion of CNO in anhydrous acetonitrile</w:t>
      </w:r>
      <w:r w:rsidRPr="004307B0">
        <w:rPr>
          <w:rFonts w:hint="eastAsia"/>
        </w:rPr>
        <w:t>.</w:t>
      </w:r>
    </w:p>
    <w:p w14:paraId="56DC060A" w14:textId="77777777" w:rsidR="00EC3895" w:rsidRPr="004307B0" w:rsidRDefault="00EC3895" w:rsidP="00555B75">
      <w:pPr>
        <w:spacing w:line="480" w:lineRule="auto"/>
        <w:jc w:val="both"/>
      </w:pPr>
    </w:p>
    <w:p w14:paraId="51E081B4" w14:textId="77777777" w:rsidR="00EC3895" w:rsidRPr="004307B0" w:rsidRDefault="00EC3895" w:rsidP="00555B75">
      <w:pPr>
        <w:spacing w:line="480" w:lineRule="auto"/>
        <w:jc w:val="center"/>
      </w:pPr>
      <w:r>
        <w:rPr>
          <w:noProof/>
        </w:rPr>
        <w:drawing>
          <wp:inline distT="0" distB="0" distL="0" distR="0" wp14:anchorId="20958B8B" wp14:editId="24172672">
            <wp:extent cx="3658729" cy="1504800"/>
            <wp:effectExtent l="0" t="0" r="0" b="635"/>
            <wp:docPr id="16954086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08629" name="图片 16954086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8729" cy="1504800"/>
                    </a:xfrm>
                    <a:prstGeom prst="rect">
                      <a:avLst/>
                    </a:prstGeom>
                  </pic:spPr>
                </pic:pic>
              </a:graphicData>
            </a:graphic>
          </wp:inline>
        </w:drawing>
      </w:r>
    </w:p>
    <w:p w14:paraId="2CDCA897" w14:textId="77777777" w:rsidR="00EC3895" w:rsidRPr="004307B0" w:rsidRDefault="00EC3895" w:rsidP="00555B75">
      <w:pPr>
        <w:spacing w:line="480" w:lineRule="auto"/>
        <w:jc w:val="both"/>
      </w:pPr>
      <w:r w:rsidRPr="00332F00">
        <w:rPr>
          <w:b/>
        </w:rPr>
        <w:t xml:space="preserve">Figure </w:t>
      </w:r>
      <w:r>
        <w:rPr>
          <w:b/>
        </w:rPr>
        <w:t>S4</w:t>
      </w:r>
      <w:r w:rsidRPr="00D42A4E">
        <w:rPr>
          <w:b/>
        </w:rPr>
        <w:t>.</w:t>
      </w:r>
      <w:r w:rsidRPr="004307B0">
        <w:rPr>
          <w:bCs/>
        </w:rPr>
        <w:t xml:space="preserve"> </w:t>
      </w:r>
      <w:r w:rsidRPr="004307B0">
        <w:t>(</w:t>
      </w:r>
      <w:r>
        <w:t>A</w:t>
      </w:r>
      <w:r w:rsidRPr="004307B0">
        <w:t>) Surface and (</w:t>
      </w:r>
      <w:r>
        <w:t>B</w:t>
      </w:r>
      <w:r w:rsidRPr="004307B0">
        <w:t>) cross-sectional SEM images of PL</w:t>
      </w:r>
      <w:r w:rsidRPr="004307B0">
        <w:rPr>
          <w:rFonts w:hint="eastAsia"/>
        </w:rPr>
        <w:t>.</w:t>
      </w:r>
    </w:p>
    <w:p w14:paraId="283C664C" w14:textId="77777777" w:rsidR="00EC3895" w:rsidRPr="003477BF" w:rsidRDefault="00EC3895" w:rsidP="00555B75">
      <w:pPr>
        <w:spacing w:line="480" w:lineRule="auto"/>
        <w:jc w:val="both"/>
      </w:pPr>
    </w:p>
    <w:p w14:paraId="302D495A" w14:textId="77777777" w:rsidR="00EC3895" w:rsidRPr="004307B0" w:rsidRDefault="00EC3895" w:rsidP="00555B75">
      <w:pPr>
        <w:spacing w:line="480" w:lineRule="auto"/>
        <w:jc w:val="center"/>
      </w:pPr>
      <w:r>
        <w:rPr>
          <w:noProof/>
        </w:rPr>
        <w:lastRenderedPageBreak/>
        <w:drawing>
          <wp:inline distT="0" distB="0" distL="0" distR="0" wp14:anchorId="272A99D0" wp14:editId="285B9575">
            <wp:extent cx="5274310" cy="1231900"/>
            <wp:effectExtent l="0" t="0" r="2540" b="6350"/>
            <wp:docPr id="96593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3705" name="图片 965937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231900"/>
                    </a:xfrm>
                    <a:prstGeom prst="rect">
                      <a:avLst/>
                    </a:prstGeom>
                  </pic:spPr>
                </pic:pic>
              </a:graphicData>
            </a:graphic>
          </wp:inline>
        </w:drawing>
      </w:r>
    </w:p>
    <w:p w14:paraId="6171C72B" w14:textId="4C8C51B7" w:rsidR="00EC3895" w:rsidRDefault="00EC3895" w:rsidP="00555B75">
      <w:pPr>
        <w:spacing w:line="480" w:lineRule="auto"/>
        <w:jc w:val="both"/>
      </w:pPr>
      <w:r w:rsidRPr="00332F00">
        <w:rPr>
          <w:b/>
        </w:rPr>
        <w:t xml:space="preserve">Figure </w:t>
      </w:r>
      <w:r>
        <w:rPr>
          <w:b/>
        </w:rPr>
        <w:t>S5</w:t>
      </w:r>
      <w:r w:rsidRPr="00D42A4E">
        <w:rPr>
          <w:rFonts w:hint="eastAsia"/>
          <w:b/>
        </w:rPr>
        <w:t>.</w:t>
      </w:r>
      <w:r w:rsidRPr="004307B0">
        <w:t xml:space="preserve"> </w:t>
      </w:r>
      <w:r w:rsidRPr="004307B0">
        <w:rPr>
          <w:rFonts w:hint="eastAsia"/>
        </w:rPr>
        <w:t>(</w:t>
      </w:r>
      <w:r>
        <w:t>A</w:t>
      </w:r>
      <w:r w:rsidRPr="004307B0">
        <w:rPr>
          <w:rFonts w:hint="eastAsia"/>
        </w:rPr>
        <w:t xml:space="preserve">) </w:t>
      </w:r>
      <w:r>
        <w:t>Cross-s</w:t>
      </w:r>
      <w:r w:rsidRPr="004307B0">
        <w:t>ection</w:t>
      </w:r>
      <w:r>
        <w:t>al</w:t>
      </w:r>
      <w:r w:rsidRPr="004307B0">
        <w:rPr>
          <w:rFonts w:hint="eastAsia"/>
        </w:rPr>
        <w:t xml:space="preserve"> SEM image</w:t>
      </w:r>
      <w:r w:rsidRPr="004307B0">
        <w:t xml:space="preserve"> and EDS mappings of </w:t>
      </w:r>
      <w:r>
        <w:rPr>
          <w:rFonts w:hint="eastAsia"/>
        </w:rPr>
        <w:t>(</w:t>
      </w:r>
      <w:r>
        <w:t xml:space="preserve">B) Ca and (C) Nb for </w:t>
      </w:r>
      <w:r w:rsidRPr="004307B0">
        <w:t>PLCN electrolyte</w:t>
      </w:r>
      <w:r w:rsidRPr="004307B0">
        <w:rPr>
          <w:rFonts w:hint="eastAsia"/>
        </w:rPr>
        <w:t>.</w:t>
      </w:r>
    </w:p>
    <w:p w14:paraId="64F29E40" w14:textId="77777777" w:rsidR="00EC3895" w:rsidRPr="004307B0" w:rsidRDefault="00EC3895" w:rsidP="00555B75">
      <w:pPr>
        <w:spacing w:line="480" w:lineRule="auto"/>
        <w:jc w:val="both"/>
      </w:pPr>
    </w:p>
    <w:p w14:paraId="4AADF117" w14:textId="77777777" w:rsidR="00EC3895" w:rsidRPr="004307B0" w:rsidRDefault="00EC3895" w:rsidP="00555B75">
      <w:pPr>
        <w:spacing w:line="480" w:lineRule="auto"/>
        <w:jc w:val="center"/>
      </w:pPr>
      <w:r>
        <w:rPr>
          <w:noProof/>
        </w:rPr>
        <w:drawing>
          <wp:inline distT="0" distB="0" distL="0" distR="0" wp14:anchorId="5C817BA0" wp14:editId="6E7085F5">
            <wp:extent cx="4427363" cy="1886400"/>
            <wp:effectExtent l="0" t="0" r="0" b="0"/>
            <wp:docPr id="18323749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74925" name="图片 18323749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7363" cy="1886400"/>
                    </a:xfrm>
                    <a:prstGeom prst="rect">
                      <a:avLst/>
                    </a:prstGeom>
                  </pic:spPr>
                </pic:pic>
              </a:graphicData>
            </a:graphic>
          </wp:inline>
        </w:drawing>
      </w:r>
    </w:p>
    <w:p w14:paraId="0E06D228" w14:textId="77777777" w:rsidR="00EC3895" w:rsidRPr="004307B0" w:rsidRDefault="00EC3895" w:rsidP="00555B75">
      <w:pPr>
        <w:spacing w:line="480" w:lineRule="auto"/>
        <w:jc w:val="both"/>
      </w:pPr>
      <w:bookmarkStart w:id="8" w:name="_Hlk144839125"/>
      <w:r w:rsidRPr="00332F00">
        <w:rPr>
          <w:b/>
        </w:rPr>
        <w:t xml:space="preserve">Figure </w:t>
      </w:r>
      <w:r>
        <w:rPr>
          <w:b/>
        </w:rPr>
        <w:t>S6</w:t>
      </w:r>
      <w:r w:rsidRPr="00D42A4E">
        <w:rPr>
          <w:rFonts w:hint="eastAsia"/>
          <w:b/>
        </w:rPr>
        <w:t>.</w:t>
      </w:r>
      <w:r w:rsidRPr="004307B0">
        <w:rPr>
          <w:bCs/>
        </w:rPr>
        <w:t xml:space="preserve"> </w:t>
      </w:r>
      <w:r w:rsidRPr="004307B0">
        <w:t>Ultrathin section TEM images of PLCN electrolyte (Ultrathin slices of PLCN electrolyte were obtained by slicing in a direction perpendicular to the electrolyte membrane plane). The CNO nanosheets plane inside the rectangular dashed box refer to the CNO nanosheets arranged perpendicular to the direction of the PLCN electrolyte membrane plane. And CNO nanosheets cross-section inside the elliptical dashed box refer to the CNO nanosheets arranged parallel to the direction of the PLCN electrolyte membrane plane or the CNO nanosheets with a direction of the PLCN electrolyte membrane plane at a certain angle (between 0° and 90°).</w:t>
      </w:r>
      <w:bookmarkEnd w:id="8"/>
    </w:p>
    <w:p w14:paraId="36B8F0FE" w14:textId="77777777" w:rsidR="00EC3895" w:rsidRPr="00456FC6" w:rsidRDefault="00EC3895" w:rsidP="00555B75">
      <w:pPr>
        <w:spacing w:line="480" w:lineRule="auto"/>
        <w:jc w:val="both"/>
      </w:pPr>
    </w:p>
    <w:p w14:paraId="70021D68" w14:textId="77777777" w:rsidR="00EC3895" w:rsidRDefault="00EC3895" w:rsidP="00555B75">
      <w:pPr>
        <w:spacing w:line="480" w:lineRule="auto"/>
        <w:jc w:val="both"/>
      </w:pPr>
    </w:p>
    <w:p w14:paraId="1C2F1685" w14:textId="77777777" w:rsidR="00EC3895" w:rsidRDefault="00EC3895" w:rsidP="00555B75">
      <w:pPr>
        <w:spacing w:line="480" w:lineRule="auto"/>
        <w:jc w:val="both"/>
      </w:pPr>
    </w:p>
    <w:p w14:paraId="557FA9FB" w14:textId="77777777" w:rsidR="00EC3895" w:rsidRPr="004307B0" w:rsidRDefault="00EC3895" w:rsidP="00555B75">
      <w:pPr>
        <w:spacing w:line="480" w:lineRule="auto"/>
        <w:jc w:val="center"/>
      </w:pPr>
      <w:r>
        <w:rPr>
          <w:noProof/>
        </w:rPr>
        <w:lastRenderedPageBreak/>
        <w:drawing>
          <wp:inline distT="0" distB="0" distL="0" distR="0" wp14:anchorId="6DD00A3A" wp14:editId="61254795">
            <wp:extent cx="3639562" cy="2520000"/>
            <wp:effectExtent l="0" t="0" r="0" b="0"/>
            <wp:docPr id="422883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83497" name="图片 4228834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9562" cy="2520000"/>
                    </a:xfrm>
                    <a:prstGeom prst="rect">
                      <a:avLst/>
                    </a:prstGeom>
                  </pic:spPr>
                </pic:pic>
              </a:graphicData>
            </a:graphic>
          </wp:inline>
        </w:drawing>
      </w:r>
    </w:p>
    <w:p w14:paraId="1DA8EED5" w14:textId="77777777" w:rsidR="00EC3895" w:rsidRDefault="00EC3895" w:rsidP="00555B75">
      <w:pPr>
        <w:spacing w:line="480" w:lineRule="auto"/>
        <w:jc w:val="both"/>
      </w:pPr>
      <w:r w:rsidRPr="00332F00">
        <w:rPr>
          <w:b/>
        </w:rPr>
        <w:t>Fig</w:t>
      </w:r>
      <w:r w:rsidRPr="00D42A4E">
        <w:rPr>
          <w:b/>
        </w:rPr>
        <w:t xml:space="preserve">ure </w:t>
      </w:r>
      <w:r>
        <w:rPr>
          <w:b/>
        </w:rPr>
        <w:t>S7</w:t>
      </w:r>
      <w:r w:rsidRPr="00D42A4E">
        <w:rPr>
          <w:b/>
        </w:rPr>
        <w:t>.</w:t>
      </w:r>
      <w:r w:rsidRPr="004307B0">
        <w:t xml:space="preserve"> The optimized models of (</w:t>
      </w:r>
      <w:r>
        <w:t>A</w:t>
      </w:r>
      <w:r w:rsidRPr="004307B0">
        <w:t>) PL and (</w:t>
      </w:r>
      <w:r>
        <w:t>B</w:t>
      </w:r>
      <w:r w:rsidRPr="004307B0">
        <w:t>) PLCN.</w:t>
      </w:r>
    </w:p>
    <w:p w14:paraId="74DF2363" w14:textId="77777777" w:rsidR="00EC3895" w:rsidRPr="004307B0" w:rsidRDefault="00EC3895" w:rsidP="00555B75">
      <w:pPr>
        <w:spacing w:line="480" w:lineRule="auto"/>
        <w:jc w:val="both"/>
      </w:pPr>
    </w:p>
    <w:p w14:paraId="2F5D8E24" w14:textId="77777777" w:rsidR="00EC3895" w:rsidRPr="004307B0" w:rsidRDefault="00EC3895" w:rsidP="00555B75">
      <w:pPr>
        <w:spacing w:line="480" w:lineRule="auto"/>
        <w:jc w:val="center"/>
      </w:pPr>
      <w:r>
        <w:rPr>
          <w:noProof/>
        </w:rPr>
        <w:drawing>
          <wp:inline distT="0" distB="0" distL="0" distR="0" wp14:anchorId="6E380A59" wp14:editId="76F1F5C2">
            <wp:extent cx="5274310" cy="1765935"/>
            <wp:effectExtent l="0" t="0" r="2540" b="5715"/>
            <wp:docPr id="8335092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09246" name="图片 833509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765935"/>
                    </a:xfrm>
                    <a:prstGeom prst="rect">
                      <a:avLst/>
                    </a:prstGeom>
                  </pic:spPr>
                </pic:pic>
              </a:graphicData>
            </a:graphic>
          </wp:inline>
        </w:drawing>
      </w:r>
    </w:p>
    <w:p w14:paraId="3322DA9D" w14:textId="77777777" w:rsidR="00EC3895" w:rsidRDefault="00EC3895" w:rsidP="00555B75">
      <w:pPr>
        <w:spacing w:line="480" w:lineRule="auto"/>
        <w:jc w:val="both"/>
      </w:pPr>
      <w:r w:rsidRPr="00332F00">
        <w:rPr>
          <w:b/>
        </w:rPr>
        <w:t xml:space="preserve">Figure </w:t>
      </w:r>
      <w:r>
        <w:rPr>
          <w:b/>
        </w:rPr>
        <w:t>S8.</w:t>
      </w:r>
      <w:r w:rsidRPr="004307B0">
        <w:rPr>
          <w:bCs/>
        </w:rPr>
        <w:t xml:space="preserve"> </w:t>
      </w:r>
      <w:r w:rsidRPr="004307B0">
        <w:t>The electrostatic potential (ESP) of (</w:t>
      </w:r>
      <w:r>
        <w:t>A</w:t>
      </w:r>
      <w:r w:rsidRPr="004307B0">
        <w:t>) CNO-Li, (</w:t>
      </w:r>
      <w:r>
        <w:t>B</w:t>
      </w:r>
      <w:r w:rsidRPr="004307B0">
        <w:t>) PEO and (</w:t>
      </w:r>
      <w:r>
        <w:t>C</w:t>
      </w:r>
      <w:r w:rsidRPr="004307B0">
        <w:t>) PEO-Li. (The white, green, brown, red, indigo, cyan balls represent H, Li, C, O, Ca, and Nb atoms, respectively)</w:t>
      </w:r>
    </w:p>
    <w:p w14:paraId="5B298336" w14:textId="77777777" w:rsidR="00EC3895" w:rsidRDefault="00EC3895" w:rsidP="00555B75">
      <w:pPr>
        <w:spacing w:line="480" w:lineRule="auto"/>
        <w:jc w:val="both"/>
      </w:pPr>
    </w:p>
    <w:p w14:paraId="629BA813" w14:textId="77777777" w:rsidR="00EC3895" w:rsidRPr="004307B0" w:rsidRDefault="00EC3895" w:rsidP="00555B75">
      <w:pPr>
        <w:spacing w:line="480" w:lineRule="auto"/>
        <w:jc w:val="both"/>
      </w:pPr>
    </w:p>
    <w:p w14:paraId="088BCB9B" w14:textId="77777777" w:rsidR="00EC3895" w:rsidRPr="004307B0" w:rsidRDefault="00EC3895" w:rsidP="00555B75">
      <w:pPr>
        <w:spacing w:line="480" w:lineRule="auto"/>
        <w:jc w:val="center"/>
      </w:pPr>
      <w:r>
        <w:rPr>
          <w:noProof/>
        </w:rPr>
        <w:lastRenderedPageBreak/>
        <w:drawing>
          <wp:inline distT="0" distB="0" distL="0" distR="0" wp14:anchorId="3B6E1660" wp14:editId="095D474E">
            <wp:extent cx="3812824" cy="2340000"/>
            <wp:effectExtent l="0" t="0" r="0" b="3175"/>
            <wp:docPr id="8365667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66754" name="图片 8365667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2824" cy="2340000"/>
                    </a:xfrm>
                    <a:prstGeom prst="rect">
                      <a:avLst/>
                    </a:prstGeom>
                  </pic:spPr>
                </pic:pic>
              </a:graphicData>
            </a:graphic>
          </wp:inline>
        </w:drawing>
      </w:r>
    </w:p>
    <w:p w14:paraId="760E9F98" w14:textId="77777777" w:rsidR="00EC3895" w:rsidRPr="004307B0" w:rsidRDefault="00EC3895" w:rsidP="00555B75">
      <w:pPr>
        <w:spacing w:line="480" w:lineRule="auto"/>
        <w:jc w:val="both"/>
        <w:rPr>
          <w:bCs/>
        </w:rPr>
      </w:pPr>
      <w:r w:rsidRPr="00332F00">
        <w:rPr>
          <w:b/>
        </w:rPr>
        <w:t xml:space="preserve">Figure </w:t>
      </w:r>
      <w:r>
        <w:rPr>
          <w:b/>
        </w:rPr>
        <w:t>S9</w:t>
      </w:r>
      <w:r w:rsidRPr="00D42A4E">
        <w:rPr>
          <w:b/>
        </w:rPr>
        <w:t>.</w:t>
      </w:r>
      <w:r w:rsidRPr="004307B0">
        <w:rPr>
          <w:bCs/>
        </w:rPr>
        <w:t xml:space="preserve"> The</w:t>
      </w:r>
      <w:bookmarkStart w:id="9" w:name="_Hlk115013849"/>
      <w:r w:rsidRPr="004307B0">
        <w:rPr>
          <w:bCs/>
        </w:rPr>
        <w:t xml:space="preserve"> crystallographic structure of (</w:t>
      </w:r>
      <w:r>
        <w:rPr>
          <w:bCs/>
        </w:rPr>
        <w:t>A</w:t>
      </w:r>
      <w:r w:rsidRPr="004307B0">
        <w:rPr>
          <w:bCs/>
        </w:rPr>
        <w:t>) LiTFSI, (</w:t>
      </w:r>
      <w:r>
        <w:rPr>
          <w:bCs/>
        </w:rPr>
        <w:t>B</w:t>
      </w:r>
      <w:r w:rsidRPr="004307B0">
        <w:rPr>
          <w:bCs/>
        </w:rPr>
        <w:t>) Li</w:t>
      </w:r>
      <w:r w:rsidRPr="004307B0">
        <w:rPr>
          <w:bCs/>
          <w:vertAlign w:val="superscript"/>
        </w:rPr>
        <w:t>+</w:t>
      </w:r>
      <w:r w:rsidRPr="004307B0">
        <w:rPr>
          <w:bCs/>
        </w:rPr>
        <w:t xml:space="preserve"> adsorbed on the surface of the CNO.</w:t>
      </w:r>
      <w:bookmarkEnd w:id="9"/>
      <w:r w:rsidRPr="004307B0">
        <w:rPr>
          <w:bCs/>
        </w:rPr>
        <w:t xml:space="preserve"> (The white, green, brown, blue, red, grey, yellow, indigo, cyan balls represent H, Li, C, N, O, F, S, Ca, and Nb atoms, respectively)</w:t>
      </w:r>
    </w:p>
    <w:p w14:paraId="2A0D8374" w14:textId="77777777" w:rsidR="00EC3895" w:rsidRPr="004307B0" w:rsidRDefault="00EC3895" w:rsidP="00555B75">
      <w:pPr>
        <w:spacing w:line="480" w:lineRule="auto"/>
        <w:jc w:val="both"/>
      </w:pPr>
    </w:p>
    <w:p w14:paraId="6378CF15" w14:textId="77777777" w:rsidR="00EC3895" w:rsidRPr="004307B0" w:rsidRDefault="00EC3895" w:rsidP="00555B75">
      <w:pPr>
        <w:spacing w:line="480" w:lineRule="auto"/>
        <w:jc w:val="center"/>
      </w:pPr>
      <w:r>
        <w:rPr>
          <w:noProof/>
        </w:rPr>
        <w:drawing>
          <wp:inline distT="0" distB="0" distL="0" distR="0" wp14:anchorId="5A853A6D" wp14:editId="441F3F30">
            <wp:extent cx="5274310" cy="2066290"/>
            <wp:effectExtent l="0" t="0" r="2540" b="0"/>
            <wp:docPr id="9801898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9835" name="图片 9801898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066290"/>
                    </a:xfrm>
                    <a:prstGeom prst="rect">
                      <a:avLst/>
                    </a:prstGeom>
                  </pic:spPr>
                </pic:pic>
              </a:graphicData>
            </a:graphic>
          </wp:inline>
        </w:drawing>
      </w:r>
    </w:p>
    <w:p w14:paraId="2CAD3F95" w14:textId="77777777" w:rsidR="00EC3895" w:rsidRPr="004307B0" w:rsidRDefault="00EC3895" w:rsidP="00555B75">
      <w:pPr>
        <w:spacing w:line="480" w:lineRule="auto"/>
        <w:jc w:val="both"/>
      </w:pPr>
      <w:r w:rsidRPr="00332F00">
        <w:rPr>
          <w:b/>
        </w:rPr>
        <w:t xml:space="preserve">Figure </w:t>
      </w:r>
      <w:r>
        <w:rPr>
          <w:b/>
        </w:rPr>
        <w:t>S10</w:t>
      </w:r>
      <w:r w:rsidRPr="00D42A4E">
        <w:rPr>
          <w:rFonts w:hint="eastAsia"/>
          <w:b/>
        </w:rPr>
        <w:t>.</w:t>
      </w:r>
      <w:r w:rsidRPr="004307B0">
        <w:t xml:space="preserve"> Schematic diagrams of LiTFSI dissociation in </w:t>
      </w:r>
      <w:bookmarkStart w:id="10" w:name="OLE_LINK6"/>
      <w:r w:rsidRPr="004307B0">
        <w:rPr>
          <w:rFonts w:hint="eastAsia"/>
        </w:rPr>
        <w:t>(</w:t>
      </w:r>
      <w:r>
        <w:t>A</w:t>
      </w:r>
      <w:r w:rsidRPr="004307B0">
        <w:rPr>
          <w:rFonts w:hint="eastAsia"/>
        </w:rPr>
        <w:t xml:space="preserve">) </w:t>
      </w:r>
      <w:r w:rsidRPr="004307B0">
        <w:t>PL</w:t>
      </w:r>
      <w:bookmarkEnd w:id="10"/>
      <w:r w:rsidRPr="004307B0">
        <w:t xml:space="preserve"> </w:t>
      </w:r>
      <w:r w:rsidRPr="004307B0">
        <w:rPr>
          <w:rFonts w:hint="eastAsia"/>
        </w:rPr>
        <w:t>and (</w:t>
      </w:r>
      <w:r>
        <w:t>B</w:t>
      </w:r>
      <w:r w:rsidRPr="004307B0">
        <w:rPr>
          <w:rFonts w:hint="eastAsia"/>
        </w:rPr>
        <w:t xml:space="preserve">) </w:t>
      </w:r>
      <w:r w:rsidRPr="004307B0">
        <w:t>PL</w:t>
      </w:r>
      <w:r w:rsidRPr="004307B0">
        <w:rPr>
          <w:rFonts w:hint="eastAsia"/>
        </w:rPr>
        <w:t xml:space="preserve">CN </w:t>
      </w:r>
      <w:r w:rsidRPr="004307B0">
        <w:t>electrolyte.</w:t>
      </w:r>
    </w:p>
    <w:p w14:paraId="0D6D00A3" w14:textId="77777777" w:rsidR="00EC3895" w:rsidRPr="004307B0" w:rsidRDefault="00EC3895" w:rsidP="00555B75">
      <w:pPr>
        <w:spacing w:line="480" w:lineRule="auto"/>
        <w:jc w:val="both"/>
      </w:pPr>
    </w:p>
    <w:p w14:paraId="29BE27F6" w14:textId="77777777" w:rsidR="00EC3895" w:rsidRPr="004307B0" w:rsidRDefault="00EC3895" w:rsidP="00555B75">
      <w:pPr>
        <w:spacing w:line="480" w:lineRule="auto"/>
        <w:jc w:val="both"/>
      </w:pPr>
    </w:p>
    <w:p w14:paraId="7F0FCB6D" w14:textId="77777777" w:rsidR="00EC3895" w:rsidRPr="004307B0" w:rsidRDefault="00EC3895" w:rsidP="00555B75">
      <w:pPr>
        <w:spacing w:line="480" w:lineRule="auto"/>
        <w:jc w:val="both"/>
      </w:pPr>
    </w:p>
    <w:p w14:paraId="1BFC043E" w14:textId="750FD710" w:rsidR="00EC3895" w:rsidRPr="004307B0" w:rsidRDefault="001603D9" w:rsidP="00555B75">
      <w:pPr>
        <w:spacing w:line="480" w:lineRule="auto"/>
        <w:jc w:val="center"/>
        <w:rPr>
          <w:b/>
        </w:rPr>
      </w:pPr>
      <w:r>
        <w:rPr>
          <w:b/>
          <w:noProof/>
        </w:rPr>
        <w:lastRenderedPageBreak/>
        <w:drawing>
          <wp:inline distT="0" distB="0" distL="0" distR="0" wp14:anchorId="7BBA6BBB" wp14:editId="2ED59FBE">
            <wp:extent cx="3276000" cy="2544445"/>
            <wp:effectExtent l="0" t="0" r="63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6000" cy="2544445"/>
                    </a:xfrm>
                    <a:prstGeom prst="rect">
                      <a:avLst/>
                    </a:prstGeom>
                  </pic:spPr>
                </pic:pic>
              </a:graphicData>
            </a:graphic>
          </wp:inline>
        </w:drawing>
      </w:r>
    </w:p>
    <w:p w14:paraId="2E3B8AE0" w14:textId="77777777" w:rsidR="00EC3895" w:rsidRPr="004307B0" w:rsidRDefault="00EC3895" w:rsidP="00555B75">
      <w:pPr>
        <w:spacing w:line="480" w:lineRule="auto"/>
        <w:jc w:val="both"/>
      </w:pPr>
      <w:r w:rsidRPr="00332F00">
        <w:rPr>
          <w:b/>
        </w:rPr>
        <w:t xml:space="preserve">Figure </w:t>
      </w:r>
      <w:r>
        <w:rPr>
          <w:b/>
        </w:rPr>
        <w:t>S11</w:t>
      </w:r>
      <w:r w:rsidRPr="00D42A4E">
        <w:rPr>
          <w:b/>
        </w:rPr>
        <w:t>.</w:t>
      </w:r>
      <w:r w:rsidRPr="004307B0">
        <w:t xml:space="preserve"> Raman spectra of (</w:t>
      </w:r>
      <w:r>
        <w:t>A</w:t>
      </w:r>
      <w:r w:rsidRPr="004307B0">
        <w:t>) PLCN</w:t>
      </w:r>
      <w:r w:rsidRPr="004307B0">
        <w:rPr>
          <w:rFonts w:hint="eastAsia"/>
        </w:rPr>
        <w:t>1</w:t>
      </w:r>
      <w:r w:rsidRPr="004307B0">
        <w:t>, (</w:t>
      </w:r>
      <w:r>
        <w:t>B</w:t>
      </w:r>
      <w:r w:rsidRPr="004307B0">
        <w:t>)</w:t>
      </w:r>
      <w:r w:rsidRPr="004307B0">
        <w:rPr>
          <w:rFonts w:hint="eastAsia"/>
        </w:rPr>
        <w:t xml:space="preserve"> </w:t>
      </w:r>
      <w:r w:rsidRPr="004307B0">
        <w:t>PLCN</w:t>
      </w:r>
      <w:r w:rsidRPr="004307B0">
        <w:rPr>
          <w:rFonts w:hint="eastAsia"/>
        </w:rPr>
        <w:t>3</w:t>
      </w:r>
      <w:r w:rsidRPr="004307B0">
        <w:t xml:space="preserve"> and (</w:t>
      </w:r>
      <w:r>
        <w:t>C</w:t>
      </w:r>
      <w:r w:rsidRPr="004307B0">
        <w:t>)</w:t>
      </w:r>
      <w:r w:rsidRPr="004307B0">
        <w:rPr>
          <w:rFonts w:hint="eastAsia"/>
        </w:rPr>
        <w:t xml:space="preserve"> </w:t>
      </w:r>
      <w:r w:rsidRPr="004307B0">
        <w:t>PLCN</w:t>
      </w:r>
      <w:r w:rsidRPr="004307B0">
        <w:rPr>
          <w:rFonts w:hint="eastAsia"/>
        </w:rPr>
        <w:t xml:space="preserve">7 </w:t>
      </w:r>
      <w:r w:rsidRPr="004307B0">
        <w:t xml:space="preserve">and </w:t>
      </w:r>
      <w:r w:rsidRPr="004307B0">
        <w:rPr>
          <w:rFonts w:hint="eastAsia"/>
        </w:rPr>
        <w:t>(</w:t>
      </w:r>
      <w:r>
        <w:t>D</w:t>
      </w:r>
      <w:r w:rsidRPr="004307B0">
        <w:rPr>
          <w:rFonts w:hint="eastAsia"/>
        </w:rPr>
        <w:t xml:space="preserve">) </w:t>
      </w:r>
      <w:r w:rsidRPr="004307B0">
        <w:t>the statistical results of Raman spectra.</w:t>
      </w:r>
    </w:p>
    <w:p w14:paraId="3D4B90BC" w14:textId="77777777" w:rsidR="00EC3895" w:rsidRPr="004307B0" w:rsidRDefault="00EC3895" w:rsidP="00555B75">
      <w:pPr>
        <w:spacing w:line="480" w:lineRule="auto"/>
        <w:jc w:val="both"/>
      </w:pPr>
    </w:p>
    <w:p w14:paraId="16FC6294" w14:textId="26DF51BF" w:rsidR="00EC3895" w:rsidRPr="004307B0" w:rsidRDefault="001603D9" w:rsidP="00555B75">
      <w:pPr>
        <w:spacing w:line="480" w:lineRule="auto"/>
        <w:jc w:val="center"/>
      </w:pPr>
      <w:r>
        <w:rPr>
          <w:noProof/>
        </w:rPr>
        <w:drawing>
          <wp:inline distT="0" distB="0" distL="0" distR="0" wp14:anchorId="604FDF2E" wp14:editId="76A42023">
            <wp:extent cx="1828800" cy="168472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3255" cy="1688830"/>
                    </a:xfrm>
                    <a:prstGeom prst="rect">
                      <a:avLst/>
                    </a:prstGeom>
                  </pic:spPr>
                </pic:pic>
              </a:graphicData>
            </a:graphic>
          </wp:inline>
        </w:drawing>
      </w:r>
    </w:p>
    <w:p w14:paraId="6B5E78EB" w14:textId="77777777" w:rsidR="00EC3895" w:rsidRPr="004307B0" w:rsidRDefault="00EC3895" w:rsidP="00555B75">
      <w:pPr>
        <w:spacing w:line="480" w:lineRule="auto"/>
        <w:jc w:val="both"/>
      </w:pPr>
      <w:r w:rsidRPr="00332F00">
        <w:rPr>
          <w:b/>
        </w:rPr>
        <w:t xml:space="preserve">Figure </w:t>
      </w:r>
      <w:r>
        <w:rPr>
          <w:b/>
        </w:rPr>
        <w:t>S12</w:t>
      </w:r>
      <w:r w:rsidRPr="00D42A4E">
        <w:rPr>
          <w:b/>
        </w:rPr>
        <w:t>.</w:t>
      </w:r>
      <w:r w:rsidRPr="004307B0">
        <w:rPr>
          <w:bCs/>
        </w:rPr>
        <w:t xml:space="preserve"> </w:t>
      </w:r>
      <w:r w:rsidRPr="004307B0">
        <w:t>Li</w:t>
      </w:r>
      <w:r w:rsidRPr="004307B0">
        <w:rPr>
          <w:rFonts w:hint="eastAsia"/>
        </w:rPr>
        <w:t xml:space="preserve"> </w:t>
      </w:r>
      <w:r w:rsidRPr="004307B0">
        <w:t>1s XPS spectra of PLCN and PL.</w:t>
      </w:r>
    </w:p>
    <w:p w14:paraId="2251AF35" w14:textId="405A7A66" w:rsidR="00EC3895" w:rsidRPr="004307B0" w:rsidRDefault="001603D9" w:rsidP="00555B75">
      <w:pPr>
        <w:spacing w:line="480" w:lineRule="auto"/>
        <w:jc w:val="center"/>
      </w:pPr>
      <w:r>
        <w:rPr>
          <w:noProof/>
        </w:rPr>
        <w:lastRenderedPageBreak/>
        <w:drawing>
          <wp:inline distT="0" distB="0" distL="0" distR="0" wp14:anchorId="6A16847F" wp14:editId="430071A2">
            <wp:extent cx="3999506" cy="3145114"/>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2068" cy="3147128"/>
                    </a:xfrm>
                    <a:prstGeom prst="rect">
                      <a:avLst/>
                    </a:prstGeom>
                  </pic:spPr>
                </pic:pic>
              </a:graphicData>
            </a:graphic>
          </wp:inline>
        </w:drawing>
      </w:r>
    </w:p>
    <w:p w14:paraId="32BB4405" w14:textId="77777777" w:rsidR="00EC3895" w:rsidRDefault="00EC3895" w:rsidP="00555B75">
      <w:pPr>
        <w:spacing w:line="480" w:lineRule="auto"/>
        <w:jc w:val="both"/>
      </w:pPr>
      <w:r w:rsidRPr="00332F00">
        <w:rPr>
          <w:b/>
        </w:rPr>
        <w:t xml:space="preserve">Figure </w:t>
      </w:r>
      <w:r>
        <w:rPr>
          <w:b/>
        </w:rPr>
        <w:t>S</w:t>
      </w:r>
      <w:r w:rsidRPr="00332F00">
        <w:rPr>
          <w:b/>
        </w:rPr>
        <w:t>1</w:t>
      </w:r>
      <w:r>
        <w:rPr>
          <w:b/>
        </w:rPr>
        <w:t>3</w:t>
      </w:r>
      <w:r w:rsidRPr="00D42A4E">
        <w:rPr>
          <w:b/>
        </w:rPr>
        <w:t>.</w:t>
      </w:r>
      <w:r w:rsidRPr="004307B0">
        <w:t xml:space="preserve"> (</w:t>
      </w:r>
      <w:r>
        <w:t>A</w:t>
      </w:r>
      <w:r w:rsidRPr="004307B0">
        <w:t>) XRD patterns of PLCN</w:t>
      </w:r>
      <w:r w:rsidRPr="004307B0">
        <w:rPr>
          <w:rFonts w:hint="eastAsia"/>
        </w:rPr>
        <w:t>1</w:t>
      </w:r>
      <w:r w:rsidRPr="004307B0">
        <w:t>, PLCN</w:t>
      </w:r>
      <w:r w:rsidRPr="004307B0">
        <w:rPr>
          <w:rFonts w:hint="eastAsia"/>
        </w:rPr>
        <w:t>3</w:t>
      </w:r>
      <w:r w:rsidRPr="004307B0">
        <w:t xml:space="preserve"> and PLCN</w:t>
      </w:r>
      <w:r w:rsidRPr="004307B0">
        <w:rPr>
          <w:rFonts w:hint="eastAsia"/>
        </w:rPr>
        <w:t>7.</w:t>
      </w:r>
      <w:r w:rsidRPr="004307B0">
        <w:t xml:space="preserve"> (</w:t>
      </w:r>
      <w:r>
        <w:t>B</w:t>
      </w:r>
      <w:r w:rsidRPr="004307B0">
        <w:t>) tanδ of pure PEO (without LiTFSI),</w:t>
      </w:r>
      <w:r w:rsidRPr="004307B0">
        <w:rPr>
          <w:rFonts w:hint="eastAsia"/>
        </w:rPr>
        <w:t xml:space="preserve"> </w:t>
      </w:r>
      <w:r w:rsidRPr="004307B0">
        <w:t>PL and PLCN. (</w:t>
      </w:r>
      <w:r>
        <w:t>C</w:t>
      </w:r>
      <w:r w:rsidRPr="004307B0">
        <w:t>) TG curves of PL and PLCN.</w:t>
      </w:r>
    </w:p>
    <w:p w14:paraId="552D3D65" w14:textId="77777777" w:rsidR="00EC3895" w:rsidRPr="004307B0" w:rsidRDefault="00EC3895" w:rsidP="00555B75">
      <w:pPr>
        <w:spacing w:line="480" w:lineRule="auto"/>
        <w:jc w:val="both"/>
      </w:pPr>
    </w:p>
    <w:p w14:paraId="439933C4" w14:textId="77777777" w:rsidR="00EC3895" w:rsidRPr="004307B0" w:rsidRDefault="00EC3895" w:rsidP="00555B75">
      <w:pPr>
        <w:spacing w:line="480" w:lineRule="auto"/>
        <w:jc w:val="center"/>
      </w:pPr>
      <w:r w:rsidRPr="004307B0">
        <w:rPr>
          <w:noProof/>
        </w:rPr>
        <w:drawing>
          <wp:inline distT="0" distB="0" distL="0" distR="0" wp14:anchorId="7BCEBF36" wp14:editId="458A6C22">
            <wp:extent cx="2218413" cy="1854348"/>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111" cy="1854931"/>
                    </a:xfrm>
                    <a:prstGeom prst="rect">
                      <a:avLst/>
                    </a:prstGeom>
                  </pic:spPr>
                </pic:pic>
              </a:graphicData>
            </a:graphic>
          </wp:inline>
        </w:drawing>
      </w:r>
    </w:p>
    <w:p w14:paraId="0ED582FE" w14:textId="1636849D" w:rsidR="00EC3895" w:rsidRPr="004307B0" w:rsidRDefault="00EC3895" w:rsidP="00555B75">
      <w:pPr>
        <w:spacing w:line="480" w:lineRule="auto"/>
        <w:jc w:val="both"/>
      </w:pPr>
      <w:r w:rsidRPr="00332F00">
        <w:rPr>
          <w:b/>
        </w:rPr>
        <w:t xml:space="preserve">Figure </w:t>
      </w:r>
      <w:r>
        <w:rPr>
          <w:b/>
        </w:rPr>
        <w:t>S</w:t>
      </w:r>
      <w:r w:rsidRPr="00332F00">
        <w:rPr>
          <w:b/>
        </w:rPr>
        <w:t>1</w:t>
      </w:r>
      <w:r>
        <w:rPr>
          <w:b/>
        </w:rPr>
        <w:t>4.</w:t>
      </w:r>
      <w:r w:rsidRPr="004307B0">
        <w:t xml:space="preserve"> Stress</w:t>
      </w:r>
      <w:r>
        <w:t>-</w:t>
      </w:r>
      <w:r w:rsidRPr="004307B0">
        <w:t>strain curves of PL and PLCN.</w:t>
      </w:r>
    </w:p>
    <w:p w14:paraId="300EFBE1" w14:textId="77777777" w:rsidR="00EC3895" w:rsidRPr="004307B0" w:rsidRDefault="00EC3895" w:rsidP="00555B75">
      <w:pPr>
        <w:spacing w:line="480" w:lineRule="auto"/>
        <w:jc w:val="center"/>
        <w:rPr>
          <w:b/>
        </w:rPr>
      </w:pPr>
      <w:r>
        <w:rPr>
          <w:b/>
          <w:noProof/>
        </w:rPr>
        <w:drawing>
          <wp:inline distT="0" distB="0" distL="0" distR="0" wp14:anchorId="6A633562" wp14:editId="7B03D30E">
            <wp:extent cx="5274310" cy="1290955"/>
            <wp:effectExtent l="0" t="0" r="2540" b="4445"/>
            <wp:docPr id="2398150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15078" name="图片 2398150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290955"/>
                    </a:xfrm>
                    <a:prstGeom prst="rect">
                      <a:avLst/>
                    </a:prstGeom>
                  </pic:spPr>
                </pic:pic>
              </a:graphicData>
            </a:graphic>
          </wp:inline>
        </w:drawing>
      </w:r>
    </w:p>
    <w:p w14:paraId="49E1A3A8" w14:textId="77777777" w:rsidR="00EC3895" w:rsidRDefault="00EC3895" w:rsidP="00555B75">
      <w:pPr>
        <w:spacing w:line="480" w:lineRule="auto"/>
        <w:jc w:val="both"/>
      </w:pPr>
      <w:bookmarkStart w:id="11" w:name="_Hlk147656850"/>
      <w:r w:rsidRPr="00332F00">
        <w:rPr>
          <w:b/>
        </w:rPr>
        <w:t xml:space="preserve">Figure </w:t>
      </w:r>
      <w:r>
        <w:rPr>
          <w:b/>
        </w:rPr>
        <w:t>S</w:t>
      </w:r>
      <w:r w:rsidRPr="00332F00">
        <w:rPr>
          <w:b/>
        </w:rPr>
        <w:t>1</w:t>
      </w:r>
      <w:r>
        <w:rPr>
          <w:b/>
        </w:rPr>
        <w:t>5</w:t>
      </w:r>
      <w:r w:rsidRPr="00D42A4E">
        <w:rPr>
          <w:b/>
        </w:rPr>
        <w:t>.</w:t>
      </w:r>
      <w:r w:rsidRPr="004307B0">
        <w:t xml:space="preserve"> The EIS spectra of </w:t>
      </w:r>
      <w:r w:rsidRPr="00A90FDC">
        <w:t>SS||(PLCNx)||SS cell</w:t>
      </w:r>
      <w:r>
        <w:t xml:space="preserve"> </w:t>
      </w:r>
      <w:r w:rsidRPr="004307B0">
        <w:t>(x=0, 1, 3, 5, 7% wt</w:t>
      </w:r>
      <w:r w:rsidRPr="004307B0">
        <w:rPr>
          <w:rFonts w:hint="eastAsia"/>
        </w:rPr>
        <w:t>.</w:t>
      </w:r>
      <w:r w:rsidRPr="004307B0">
        <w:t>) at (</w:t>
      </w:r>
      <w:r>
        <w:t>A</w:t>
      </w:r>
      <w:r w:rsidRPr="004307B0">
        <w:t>) room temperature and (</w:t>
      </w:r>
      <w:r>
        <w:t>B</w:t>
      </w:r>
      <w:r w:rsidRPr="004307B0">
        <w:t>) 60 °C. (</w:t>
      </w:r>
      <w:r>
        <w:t>C</w:t>
      </w:r>
      <w:r w:rsidRPr="004307B0">
        <w:t>) The ionic conductivity of PLCNx (x=0, 1, 3, 5, 7% wt</w:t>
      </w:r>
      <w:r w:rsidRPr="004307B0">
        <w:rPr>
          <w:rFonts w:hint="eastAsia"/>
        </w:rPr>
        <w:t>.</w:t>
      </w:r>
      <w:r w:rsidRPr="004307B0">
        <w:t>) at 60 °C.</w:t>
      </w:r>
    </w:p>
    <w:p w14:paraId="7050315B" w14:textId="77777777" w:rsidR="00EC3895" w:rsidRPr="004307B0" w:rsidRDefault="00EC3895" w:rsidP="00555B75">
      <w:pPr>
        <w:spacing w:line="480" w:lineRule="auto"/>
        <w:jc w:val="both"/>
      </w:pPr>
    </w:p>
    <w:bookmarkEnd w:id="11"/>
    <w:p w14:paraId="4F825B48" w14:textId="77777777" w:rsidR="00EC3895" w:rsidRPr="004307B0" w:rsidRDefault="00EC3895" w:rsidP="00555B75">
      <w:pPr>
        <w:spacing w:line="480" w:lineRule="auto"/>
        <w:jc w:val="center"/>
      </w:pPr>
      <w:r>
        <w:rPr>
          <w:noProof/>
        </w:rPr>
        <w:drawing>
          <wp:inline distT="0" distB="0" distL="0" distR="0" wp14:anchorId="5CC4B3D9" wp14:editId="01347E1A">
            <wp:extent cx="5274310" cy="1613535"/>
            <wp:effectExtent l="0" t="0" r="2540" b="5715"/>
            <wp:docPr id="16462096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9691" name="图片 16462096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613535"/>
                    </a:xfrm>
                    <a:prstGeom prst="rect">
                      <a:avLst/>
                    </a:prstGeom>
                  </pic:spPr>
                </pic:pic>
              </a:graphicData>
            </a:graphic>
          </wp:inline>
        </w:drawing>
      </w:r>
    </w:p>
    <w:p w14:paraId="56F4B04C" w14:textId="77777777" w:rsidR="00EC3895" w:rsidRDefault="00EC3895" w:rsidP="00555B75">
      <w:pPr>
        <w:spacing w:line="480" w:lineRule="auto"/>
        <w:jc w:val="both"/>
        <w:rPr>
          <w:rFonts w:eastAsiaTheme="minorEastAsia"/>
          <w:lang w:eastAsia="zh-CN"/>
        </w:rPr>
      </w:pPr>
      <w:r w:rsidRPr="00332F00">
        <w:rPr>
          <w:b/>
        </w:rPr>
        <w:t xml:space="preserve">Figure </w:t>
      </w:r>
      <w:r>
        <w:rPr>
          <w:b/>
        </w:rPr>
        <w:t>S</w:t>
      </w:r>
      <w:r w:rsidRPr="00332F00">
        <w:rPr>
          <w:b/>
        </w:rPr>
        <w:t>1</w:t>
      </w:r>
      <w:r>
        <w:rPr>
          <w:b/>
        </w:rPr>
        <w:t>6</w:t>
      </w:r>
      <w:r w:rsidRPr="00D42A4E">
        <w:rPr>
          <w:b/>
        </w:rPr>
        <w:t>.</w:t>
      </w:r>
      <w:r w:rsidRPr="004307B0">
        <w:t xml:space="preserve"> EIS spectra of (</w:t>
      </w:r>
      <w:r>
        <w:t>A</w:t>
      </w:r>
      <w:r w:rsidRPr="004307B0">
        <w:t>) SS||(PLCN)||SS cell and (</w:t>
      </w:r>
      <w:r>
        <w:t>B</w:t>
      </w:r>
      <w:r w:rsidRPr="004307B0">
        <w:t>) SS||(PL)||SS</w:t>
      </w:r>
      <w:r w:rsidRPr="004307B0">
        <w:rPr>
          <w:rFonts w:hint="eastAsia"/>
        </w:rPr>
        <w:t xml:space="preserve"> </w:t>
      </w:r>
      <w:r w:rsidRPr="004307B0">
        <w:t>cell from 20 to 80 °C. (</w:t>
      </w:r>
      <w:r>
        <w:t>C</w:t>
      </w:r>
      <w:r w:rsidRPr="004307B0">
        <w:t>)</w:t>
      </w:r>
      <w:r w:rsidRPr="004307B0">
        <w:rPr>
          <w:rFonts w:hint="eastAsia"/>
        </w:rPr>
        <w:t xml:space="preserve"> </w:t>
      </w:r>
      <w:r w:rsidRPr="004307B0">
        <w:t>Arrhenius plots of PLCN</w:t>
      </w:r>
      <w:r w:rsidRPr="004307B0">
        <w:rPr>
          <w:rFonts w:hint="eastAsia"/>
        </w:rPr>
        <w:t>1</w:t>
      </w:r>
      <w:r w:rsidRPr="004307B0">
        <w:t>, PLCN</w:t>
      </w:r>
      <w:r w:rsidRPr="004307B0">
        <w:rPr>
          <w:rFonts w:hint="eastAsia"/>
        </w:rPr>
        <w:t>3</w:t>
      </w:r>
      <w:r w:rsidRPr="004307B0">
        <w:t xml:space="preserve"> and PLCN</w:t>
      </w:r>
      <w:r w:rsidRPr="004307B0">
        <w:rPr>
          <w:rFonts w:hint="eastAsia"/>
        </w:rPr>
        <w:t>7</w:t>
      </w:r>
      <w:r w:rsidRPr="004307B0">
        <w:t xml:space="preserve"> electrolytes.</w:t>
      </w:r>
    </w:p>
    <w:p w14:paraId="59D6D935" w14:textId="6557B1F5" w:rsidR="00D55231" w:rsidRPr="00D55231" w:rsidRDefault="008F5E40" w:rsidP="008F5E40">
      <w:pPr>
        <w:spacing w:line="480" w:lineRule="auto"/>
        <w:jc w:val="center"/>
        <w:rPr>
          <w:rFonts w:eastAsiaTheme="minorEastAsia"/>
          <w:lang w:eastAsia="zh-CN"/>
        </w:rPr>
      </w:pPr>
      <w:r>
        <w:rPr>
          <w:rFonts w:eastAsiaTheme="minorEastAsia"/>
          <w:noProof/>
          <w:lang w:eastAsia="zh-CN"/>
        </w:rPr>
        <w:drawing>
          <wp:inline distT="0" distB="0" distL="0" distR="0" wp14:anchorId="7052FFC8" wp14:editId="7FAAE554">
            <wp:extent cx="4819650" cy="1253789"/>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27478" cy="1255825"/>
                    </a:xfrm>
                    <a:prstGeom prst="rect">
                      <a:avLst/>
                    </a:prstGeom>
                  </pic:spPr>
                </pic:pic>
              </a:graphicData>
            </a:graphic>
          </wp:inline>
        </w:drawing>
      </w:r>
    </w:p>
    <w:p w14:paraId="76D1A9E1" w14:textId="77777777" w:rsidR="008F5E40" w:rsidRPr="00483020" w:rsidRDefault="00D55231" w:rsidP="008F5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afterLines="50" w:after="120" w:line="360" w:lineRule="auto"/>
        <w:rPr>
          <w:rFonts w:eastAsia="宋体"/>
          <w:color w:val="FF0000"/>
        </w:rPr>
      </w:pPr>
      <w:r w:rsidRPr="008F5E40">
        <w:rPr>
          <w:b/>
          <w:color w:val="FF0000"/>
        </w:rPr>
        <w:t>Figure S1</w:t>
      </w:r>
      <w:r w:rsidRPr="008F5E40">
        <w:rPr>
          <w:rFonts w:eastAsiaTheme="minorEastAsia" w:hint="eastAsia"/>
          <w:b/>
          <w:color w:val="FF0000"/>
          <w:lang w:eastAsia="zh-CN"/>
        </w:rPr>
        <w:t>7</w:t>
      </w:r>
      <w:r w:rsidRPr="008F5E40">
        <w:rPr>
          <w:b/>
          <w:color w:val="FF0000"/>
        </w:rPr>
        <w:t>.</w:t>
      </w:r>
      <w:r w:rsidR="008F5E40" w:rsidRPr="008F5E40">
        <w:rPr>
          <w:b/>
          <w:color w:val="FF0000"/>
        </w:rPr>
        <w:t xml:space="preserve"> </w:t>
      </w:r>
      <w:r w:rsidR="008F5E40" w:rsidRPr="008F5E40">
        <w:rPr>
          <w:rFonts w:eastAsia="宋体"/>
          <w:color w:val="FF0000"/>
        </w:rPr>
        <w:t xml:space="preserve">(a) The </w:t>
      </w:r>
      <w:r w:rsidR="008F5E40" w:rsidRPr="00483020">
        <w:rPr>
          <w:rFonts w:eastAsia="宋体"/>
          <w:color w:val="FF0000"/>
        </w:rPr>
        <w:t xml:space="preserve">EIS spectra and ionic conductivity of PLBTO </w:t>
      </w:r>
      <w:r w:rsidR="008F5E40" w:rsidRPr="00483020">
        <w:rPr>
          <w:rFonts w:eastAsia="宋体" w:hint="eastAsia"/>
          <w:color w:val="FF0000"/>
        </w:rPr>
        <w:t>at</w:t>
      </w:r>
      <w:r w:rsidR="008F5E40" w:rsidRPr="00483020">
        <w:rPr>
          <w:rFonts w:eastAsia="宋体"/>
          <w:color w:val="FF0000"/>
        </w:rPr>
        <w:t xml:space="preserve"> room temperature. </w:t>
      </w:r>
      <w:r w:rsidR="008F5E40" w:rsidRPr="00483020">
        <w:rPr>
          <w:rFonts w:eastAsia="宋体" w:hint="eastAsia"/>
          <w:color w:val="FF0000"/>
        </w:rPr>
        <w:t>(</w:t>
      </w:r>
      <w:r w:rsidR="008F5E40" w:rsidRPr="00483020">
        <w:rPr>
          <w:rFonts w:eastAsia="宋体"/>
          <w:color w:val="FF0000"/>
        </w:rPr>
        <w:t>b)The action energy of PLBTO. (</w:t>
      </w:r>
      <w:r w:rsidR="008F5E40" w:rsidRPr="00483020">
        <w:rPr>
          <w:rFonts w:eastAsia="宋体" w:hint="eastAsia"/>
          <w:color w:val="FF0000"/>
        </w:rPr>
        <w:t>c</w:t>
      </w:r>
      <w:r w:rsidR="008F5E40" w:rsidRPr="00483020">
        <w:rPr>
          <w:rFonts w:eastAsia="宋体"/>
          <w:color w:val="FF0000"/>
        </w:rPr>
        <w:t xml:space="preserve">) The EIS spectra of PLBTO </w:t>
      </w:r>
      <w:r w:rsidR="008F5E40" w:rsidRPr="00483020">
        <w:rPr>
          <w:rFonts w:eastAsia="宋体" w:hint="eastAsia"/>
          <w:color w:val="FF0000"/>
        </w:rPr>
        <w:t>at</w:t>
      </w:r>
      <w:r w:rsidR="008F5E40" w:rsidRPr="00483020">
        <w:rPr>
          <w:rFonts w:eastAsia="宋体"/>
          <w:color w:val="FF0000"/>
        </w:rPr>
        <w:t xml:space="preserve"> different temperatures.</w:t>
      </w:r>
    </w:p>
    <w:p w14:paraId="041C36F8" w14:textId="646F19B7" w:rsidR="00EC3895" w:rsidRPr="008F5E40" w:rsidRDefault="00EC3895" w:rsidP="00555B75">
      <w:pPr>
        <w:spacing w:line="480" w:lineRule="auto"/>
        <w:jc w:val="both"/>
      </w:pPr>
    </w:p>
    <w:p w14:paraId="49757606" w14:textId="77777777" w:rsidR="00EC3895" w:rsidRPr="004307B0" w:rsidRDefault="00EC3895" w:rsidP="00555B75">
      <w:pPr>
        <w:spacing w:line="480" w:lineRule="auto"/>
        <w:jc w:val="center"/>
      </w:pPr>
      <w:r w:rsidRPr="004307B0">
        <w:rPr>
          <w:noProof/>
        </w:rPr>
        <w:drawing>
          <wp:inline distT="0" distB="0" distL="0" distR="0" wp14:anchorId="55D65EFF" wp14:editId="1C073548">
            <wp:extent cx="2209460" cy="2126786"/>
            <wp:effectExtent l="0" t="0" r="63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4828" cy="2131953"/>
                    </a:xfrm>
                    <a:prstGeom prst="rect">
                      <a:avLst/>
                    </a:prstGeom>
                  </pic:spPr>
                </pic:pic>
              </a:graphicData>
            </a:graphic>
          </wp:inline>
        </w:drawing>
      </w:r>
    </w:p>
    <w:p w14:paraId="3A3DAB48" w14:textId="5F7617D0" w:rsidR="00EC3895" w:rsidRDefault="00EC3895" w:rsidP="001603D9">
      <w:pPr>
        <w:spacing w:line="480" w:lineRule="auto"/>
        <w:jc w:val="center"/>
      </w:pPr>
      <w:r w:rsidRPr="00332F00">
        <w:rPr>
          <w:b/>
        </w:rPr>
        <w:t xml:space="preserve">Figure </w:t>
      </w:r>
      <w:r>
        <w:rPr>
          <w:b/>
        </w:rPr>
        <w:t>S</w:t>
      </w:r>
      <w:r w:rsidRPr="00332F00">
        <w:rPr>
          <w:b/>
        </w:rPr>
        <w:t>1</w:t>
      </w:r>
      <w:r w:rsidR="008231F7">
        <w:rPr>
          <w:b/>
        </w:rPr>
        <w:t>8</w:t>
      </w:r>
      <w:r w:rsidRPr="00D42A4E">
        <w:rPr>
          <w:b/>
          <w:bCs/>
        </w:rPr>
        <w:t>.</w:t>
      </w:r>
      <w:r w:rsidRPr="004307B0">
        <w:t xml:space="preserve"> The Li</w:t>
      </w:r>
      <w:r w:rsidRPr="004307B0">
        <w:rPr>
          <w:vertAlign w:val="superscript"/>
        </w:rPr>
        <w:t xml:space="preserve">+ </w:t>
      </w:r>
      <w:r w:rsidRPr="004307B0">
        <w:t>migration mechanism in the PLCN electrolyte.</w:t>
      </w:r>
    </w:p>
    <w:p w14:paraId="6AE0C098" w14:textId="77777777" w:rsidR="00EC3895" w:rsidRPr="004307B0" w:rsidRDefault="00EC3895" w:rsidP="00555B75">
      <w:pPr>
        <w:spacing w:line="480" w:lineRule="auto"/>
        <w:jc w:val="both"/>
      </w:pPr>
    </w:p>
    <w:p w14:paraId="4B498672" w14:textId="77777777" w:rsidR="00EC3895" w:rsidRPr="004307B0" w:rsidRDefault="00EC3895" w:rsidP="00555B75">
      <w:pPr>
        <w:spacing w:line="480" w:lineRule="auto"/>
        <w:jc w:val="center"/>
      </w:pPr>
      <w:r>
        <w:rPr>
          <w:noProof/>
        </w:rPr>
        <w:lastRenderedPageBreak/>
        <w:drawing>
          <wp:inline distT="0" distB="0" distL="0" distR="0" wp14:anchorId="5B93C586" wp14:editId="4F0D92A0">
            <wp:extent cx="5274310" cy="2787650"/>
            <wp:effectExtent l="0" t="0" r="2540" b="0"/>
            <wp:docPr id="18287365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36517" name="图片 18287365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787650"/>
                    </a:xfrm>
                    <a:prstGeom prst="rect">
                      <a:avLst/>
                    </a:prstGeom>
                  </pic:spPr>
                </pic:pic>
              </a:graphicData>
            </a:graphic>
          </wp:inline>
        </w:drawing>
      </w:r>
    </w:p>
    <w:p w14:paraId="5EB7ADBC" w14:textId="4E62E2E6" w:rsidR="00EC3895" w:rsidRPr="004307B0" w:rsidRDefault="00EC3895" w:rsidP="00555B75">
      <w:pPr>
        <w:spacing w:line="480" w:lineRule="auto"/>
        <w:jc w:val="both"/>
        <w:rPr>
          <w:bCs/>
        </w:rPr>
      </w:pPr>
      <w:r w:rsidRPr="00332F00">
        <w:rPr>
          <w:b/>
        </w:rPr>
        <w:t xml:space="preserve">Figure </w:t>
      </w:r>
      <w:r>
        <w:rPr>
          <w:b/>
        </w:rPr>
        <w:t>S</w:t>
      </w:r>
      <w:r w:rsidRPr="00332F00">
        <w:rPr>
          <w:b/>
        </w:rPr>
        <w:t>1</w:t>
      </w:r>
      <w:r w:rsidR="008231F7">
        <w:rPr>
          <w:b/>
        </w:rPr>
        <w:t>9</w:t>
      </w:r>
      <w:r w:rsidRPr="00D42A4E">
        <w:rPr>
          <w:b/>
        </w:rPr>
        <w:t>.</w:t>
      </w:r>
      <w:r w:rsidRPr="004307B0">
        <w:rPr>
          <w:b/>
        </w:rPr>
        <w:t xml:space="preserve"> </w:t>
      </w:r>
      <w:r w:rsidRPr="004307B0">
        <w:rPr>
          <w:bCs/>
        </w:rPr>
        <w:t>(</w:t>
      </w:r>
      <w:r>
        <w:rPr>
          <w:bCs/>
        </w:rPr>
        <w:t>A-D</w:t>
      </w:r>
      <w:r w:rsidRPr="004307B0">
        <w:rPr>
          <w:bCs/>
        </w:rPr>
        <w:t xml:space="preserve">) </w:t>
      </w:r>
      <w:bookmarkStart w:id="12" w:name="_Hlk144734946"/>
      <w:r w:rsidRPr="004307B0">
        <w:rPr>
          <w:bCs/>
        </w:rPr>
        <w:t>Chronoamperometry</w:t>
      </w:r>
      <w:r w:rsidRPr="004307B0">
        <w:rPr>
          <w:rFonts w:hint="eastAsia"/>
          <w:bCs/>
        </w:rPr>
        <w:t xml:space="preserve"> </w:t>
      </w:r>
      <w:r w:rsidRPr="004307B0">
        <w:rPr>
          <w:bCs/>
        </w:rPr>
        <w:t xml:space="preserve">curves of PLCN </w:t>
      </w:r>
      <w:r>
        <w:rPr>
          <w:bCs/>
        </w:rPr>
        <w:t xml:space="preserve">in </w:t>
      </w:r>
      <w:r w:rsidRPr="004307B0">
        <w:rPr>
          <w:bCs/>
        </w:rPr>
        <w:t xml:space="preserve">Li symmetric cell </w:t>
      </w:r>
      <w:r w:rsidRPr="004307B0">
        <w:rPr>
          <w:rFonts w:hint="eastAsia"/>
          <w:bCs/>
        </w:rPr>
        <w:t>with</w:t>
      </w:r>
      <w:r w:rsidRPr="004307B0">
        <w:rPr>
          <w:bCs/>
        </w:rPr>
        <w:t xml:space="preserve"> different CNO contents at room temperature, and insert figure is the corresponding EIS curves before and after</w:t>
      </w:r>
      <w:r w:rsidRPr="004307B0">
        <w:rPr>
          <w:rFonts w:hint="eastAsia"/>
          <w:bCs/>
        </w:rPr>
        <w:t xml:space="preserve"> </w:t>
      </w:r>
      <w:r w:rsidRPr="004307B0">
        <w:rPr>
          <w:bCs/>
        </w:rPr>
        <w:t>polarization.</w:t>
      </w:r>
      <w:bookmarkEnd w:id="12"/>
      <w:r w:rsidRPr="004307B0">
        <w:rPr>
          <w:bCs/>
        </w:rPr>
        <w:t xml:space="preserve"> (</w:t>
      </w:r>
      <w:r>
        <w:rPr>
          <w:bCs/>
        </w:rPr>
        <w:t>E</w:t>
      </w:r>
      <w:r w:rsidRPr="004307B0">
        <w:rPr>
          <w:bCs/>
        </w:rPr>
        <w:t>) Li</w:t>
      </w:r>
      <w:r w:rsidRPr="004307B0">
        <w:rPr>
          <w:bCs/>
          <w:vertAlign w:val="superscript"/>
        </w:rPr>
        <w:t>+</w:t>
      </w:r>
      <w:r w:rsidRPr="004307B0">
        <w:rPr>
          <w:bCs/>
        </w:rPr>
        <w:t xml:space="preserve"> transference number </w:t>
      </w:r>
      <w:r w:rsidRPr="004307B0">
        <w:rPr>
          <w:rFonts w:hint="eastAsia"/>
          <w:bCs/>
        </w:rPr>
        <w:t>with</w:t>
      </w:r>
      <w:r w:rsidRPr="004307B0">
        <w:rPr>
          <w:bCs/>
        </w:rPr>
        <w:t xml:space="preserve"> different CNO contents at room temperature.</w:t>
      </w:r>
    </w:p>
    <w:p w14:paraId="4790FBD5" w14:textId="77777777" w:rsidR="00EC3895" w:rsidRPr="004307B0" w:rsidRDefault="00EC3895" w:rsidP="00555B75">
      <w:pPr>
        <w:spacing w:line="480" w:lineRule="auto"/>
        <w:jc w:val="center"/>
        <w:rPr>
          <w:bCs/>
        </w:rPr>
      </w:pPr>
      <w:r>
        <w:rPr>
          <w:bCs/>
          <w:noProof/>
        </w:rPr>
        <w:drawing>
          <wp:inline distT="0" distB="0" distL="0" distR="0" wp14:anchorId="56BEE202" wp14:editId="73F1576A">
            <wp:extent cx="5274310" cy="2701290"/>
            <wp:effectExtent l="0" t="0" r="2540" b="3810"/>
            <wp:docPr id="15689041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4191" name="图片 156890419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701290"/>
                    </a:xfrm>
                    <a:prstGeom prst="rect">
                      <a:avLst/>
                    </a:prstGeom>
                  </pic:spPr>
                </pic:pic>
              </a:graphicData>
            </a:graphic>
          </wp:inline>
        </w:drawing>
      </w:r>
    </w:p>
    <w:p w14:paraId="201A01DB" w14:textId="6C3CAC9F" w:rsidR="00EC3895" w:rsidRPr="004307B0" w:rsidRDefault="00EC3895" w:rsidP="00555B75">
      <w:pPr>
        <w:spacing w:line="480" w:lineRule="auto"/>
        <w:jc w:val="both"/>
        <w:rPr>
          <w:bCs/>
        </w:rPr>
      </w:pPr>
      <w:r w:rsidRPr="00332F00">
        <w:rPr>
          <w:b/>
        </w:rPr>
        <w:t xml:space="preserve">Figure </w:t>
      </w:r>
      <w:r>
        <w:rPr>
          <w:b/>
        </w:rPr>
        <w:t>S</w:t>
      </w:r>
      <w:r w:rsidR="008231F7">
        <w:rPr>
          <w:b/>
        </w:rPr>
        <w:t>20</w:t>
      </w:r>
      <w:r w:rsidRPr="00D42A4E">
        <w:rPr>
          <w:b/>
        </w:rPr>
        <w:t>.</w:t>
      </w:r>
      <w:r w:rsidRPr="004307B0">
        <w:rPr>
          <w:bCs/>
        </w:rPr>
        <w:t xml:space="preserve"> (</w:t>
      </w:r>
      <w:r>
        <w:rPr>
          <w:bCs/>
        </w:rPr>
        <w:t>A-D</w:t>
      </w:r>
      <w:r w:rsidRPr="004307B0">
        <w:rPr>
          <w:bCs/>
        </w:rPr>
        <w:t xml:space="preserve">) Chronoamperometry curves of PLCN Li symmetric cell at different temperatures </w:t>
      </w:r>
      <w:bookmarkStart w:id="13" w:name="_Hlk147653261"/>
      <w:r w:rsidRPr="004307B0">
        <w:rPr>
          <w:bCs/>
        </w:rPr>
        <w:t>(30, 40, 50 and 60 °C)</w:t>
      </w:r>
      <w:bookmarkEnd w:id="13"/>
      <w:r w:rsidRPr="004307B0">
        <w:rPr>
          <w:bCs/>
        </w:rPr>
        <w:t>, and insert figure is the corresponding EIS curves before and after polarization. (</w:t>
      </w:r>
      <w:r>
        <w:rPr>
          <w:bCs/>
        </w:rPr>
        <w:t>E</w:t>
      </w:r>
      <w:r w:rsidRPr="004307B0">
        <w:rPr>
          <w:bCs/>
        </w:rPr>
        <w:t>) Li</w:t>
      </w:r>
      <w:r w:rsidRPr="004307B0">
        <w:rPr>
          <w:bCs/>
          <w:vertAlign w:val="superscript"/>
        </w:rPr>
        <w:t>+</w:t>
      </w:r>
      <w:r w:rsidRPr="004307B0">
        <w:rPr>
          <w:bCs/>
        </w:rPr>
        <w:t xml:space="preserve"> transference number at different temperatures (25, 30, 40, 50 and 60 °C). </w:t>
      </w:r>
    </w:p>
    <w:p w14:paraId="20C6027B" w14:textId="77777777" w:rsidR="00EC3895" w:rsidRPr="004307B0" w:rsidRDefault="00EC3895" w:rsidP="00555B75">
      <w:pPr>
        <w:spacing w:line="480" w:lineRule="auto"/>
        <w:jc w:val="both"/>
      </w:pPr>
    </w:p>
    <w:p w14:paraId="6759ECF1" w14:textId="77777777" w:rsidR="00EC3895" w:rsidRPr="004307B0" w:rsidRDefault="00EC3895" w:rsidP="00555B75">
      <w:pPr>
        <w:spacing w:line="480" w:lineRule="auto"/>
        <w:jc w:val="center"/>
      </w:pPr>
      <w:r w:rsidRPr="004307B0">
        <w:rPr>
          <w:noProof/>
        </w:rPr>
        <w:lastRenderedPageBreak/>
        <w:drawing>
          <wp:inline distT="0" distB="0" distL="0" distR="0" wp14:anchorId="0CB384E8" wp14:editId="5DFE7472">
            <wp:extent cx="2062886" cy="160123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1392" cy="1607835"/>
                    </a:xfrm>
                    <a:prstGeom prst="rect">
                      <a:avLst/>
                    </a:prstGeom>
                  </pic:spPr>
                </pic:pic>
              </a:graphicData>
            </a:graphic>
          </wp:inline>
        </w:drawing>
      </w:r>
    </w:p>
    <w:p w14:paraId="7FE3C598" w14:textId="04ACA025" w:rsidR="00EC3895" w:rsidRDefault="00EC3895" w:rsidP="00555B75">
      <w:pPr>
        <w:spacing w:line="480" w:lineRule="auto"/>
        <w:jc w:val="both"/>
      </w:pPr>
      <w:r w:rsidRPr="00332F00">
        <w:rPr>
          <w:b/>
        </w:rPr>
        <w:t xml:space="preserve">Figure </w:t>
      </w:r>
      <w:r>
        <w:rPr>
          <w:b/>
        </w:rPr>
        <w:t>S2</w:t>
      </w:r>
      <w:r w:rsidR="008231F7">
        <w:rPr>
          <w:b/>
        </w:rPr>
        <w:t>1</w:t>
      </w:r>
      <w:r w:rsidRPr="00D42A4E">
        <w:rPr>
          <w:b/>
        </w:rPr>
        <w:t>.</w:t>
      </w:r>
      <w:r w:rsidRPr="004307B0">
        <w:rPr>
          <w:bCs/>
        </w:rPr>
        <w:t xml:space="preserve"> </w:t>
      </w:r>
      <w:r w:rsidRPr="004307B0">
        <w:t>LSV curves of PL and PLCN.</w:t>
      </w:r>
    </w:p>
    <w:p w14:paraId="5E4C2161" w14:textId="77777777" w:rsidR="008231F7" w:rsidRPr="008231F7" w:rsidRDefault="008231F7" w:rsidP="00555B75">
      <w:pPr>
        <w:spacing w:line="480" w:lineRule="auto"/>
        <w:jc w:val="both"/>
        <w:rPr>
          <w:lang w:val="en-US"/>
        </w:rPr>
      </w:pPr>
    </w:p>
    <w:p w14:paraId="537FBDE5" w14:textId="77777777" w:rsidR="00EC3895" w:rsidRPr="004307B0" w:rsidRDefault="00EC3895" w:rsidP="00555B75">
      <w:pPr>
        <w:spacing w:line="480" w:lineRule="auto"/>
        <w:jc w:val="center"/>
      </w:pPr>
      <w:r w:rsidRPr="004307B0">
        <w:rPr>
          <w:noProof/>
        </w:rPr>
        <w:drawing>
          <wp:inline distT="0" distB="0" distL="0" distR="0" wp14:anchorId="05C63427" wp14:editId="1FCB5D83">
            <wp:extent cx="3098800" cy="2260326"/>
            <wp:effectExtent l="0" t="0" r="63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7.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0181" cy="2268627"/>
                    </a:xfrm>
                    <a:prstGeom prst="rect">
                      <a:avLst/>
                    </a:prstGeom>
                  </pic:spPr>
                </pic:pic>
              </a:graphicData>
            </a:graphic>
          </wp:inline>
        </w:drawing>
      </w:r>
    </w:p>
    <w:p w14:paraId="66A4DDB2" w14:textId="709D6608" w:rsidR="00EC3895" w:rsidRDefault="00EC3895" w:rsidP="00555B75">
      <w:pPr>
        <w:spacing w:line="480" w:lineRule="auto"/>
        <w:jc w:val="both"/>
      </w:pPr>
      <w:r w:rsidRPr="00332F00">
        <w:rPr>
          <w:b/>
        </w:rPr>
        <w:t xml:space="preserve">Figure </w:t>
      </w:r>
      <w:r>
        <w:rPr>
          <w:b/>
        </w:rPr>
        <w:t>S2</w:t>
      </w:r>
      <w:r w:rsidR="008231F7">
        <w:rPr>
          <w:b/>
        </w:rPr>
        <w:t>2</w:t>
      </w:r>
      <w:r w:rsidRPr="00D42A4E">
        <w:rPr>
          <w:b/>
        </w:rPr>
        <w:t>.</w:t>
      </w:r>
      <w:r w:rsidRPr="004307B0">
        <w:t xml:space="preserve"> Voltage</w:t>
      </w:r>
      <w:r>
        <w:t>-</w:t>
      </w:r>
      <w:r w:rsidRPr="004307B0">
        <w:t>time profiles of the continued lithium plating/stripping cycling of Li||(PLCN</w:t>
      </w:r>
      <w:r w:rsidRPr="004307B0">
        <w:rPr>
          <w:rFonts w:hint="eastAsia"/>
        </w:rPr>
        <w:t>1</w:t>
      </w:r>
      <w:r w:rsidRPr="004307B0">
        <w:t>)||Li</w:t>
      </w:r>
      <w:r w:rsidRPr="004307B0">
        <w:rPr>
          <w:rFonts w:hint="eastAsia"/>
        </w:rPr>
        <w:t xml:space="preserve">, </w:t>
      </w:r>
      <w:r w:rsidRPr="004307B0">
        <w:t>Li||(PLCN</w:t>
      </w:r>
      <w:r w:rsidRPr="004307B0">
        <w:rPr>
          <w:rFonts w:hint="eastAsia"/>
        </w:rPr>
        <w:t>3</w:t>
      </w:r>
      <w:r w:rsidRPr="004307B0">
        <w:t>)||Li and Li||(PLCN</w:t>
      </w:r>
      <w:r w:rsidRPr="004307B0">
        <w:rPr>
          <w:rFonts w:hint="eastAsia"/>
        </w:rPr>
        <w:t>7</w:t>
      </w:r>
      <w:r w:rsidRPr="004307B0">
        <w:t>)||Li cells with a current density of 0.1mA cm</w:t>
      </w:r>
      <w:r w:rsidRPr="004307B0">
        <w:rPr>
          <w:vertAlign w:val="superscript"/>
        </w:rPr>
        <w:t>−2</w:t>
      </w:r>
      <w:r w:rsidRPr="004307B0">
        <w:t xml:space="preserve"> at 60 °C.</w:t>
      </w:r>
    </w:p>
    <w:p w14:paraId="25D3985F" w14:textId="77777777" w:rsidR="008231F7" w:rsidRDefault="008231F7" w:rsidP="008231F7">
      <w:pPr>
        <w:spacing w:line="480" w:lineRule="auto"/>
        <w:jc w:val="center"/>
      </w:pPr>
      <w:r>
        <w:rPr>
          <w:noProof/>
        </w:rPr>
        <w:drawing>
          <wp:inline distT="0" distB="0" distL="0" distR="0" wp14:anchorId="4756D4FE" wp14:editId="6935FCA5">
            <wp:extent cx="3663065" cy="1485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0330" cy="1488847"/>
                    </a:xfrm>
                    <a:prstGeom prst="rect">
                      <a:avLst/>
                    </a:prstGeom>
                  </pic:spPr>
                </pic:pic>
              </a:graphicData>
            </a:graphic>
          </wp:inline>
        </w:drawing>
      </w:r>
    </w:p>
    <w:p w14:paraId="4189322E" w14:textId="32C8668C" w:rsidR="008231F7" w:rsidRPr="008231F7" w:rsidRDefault="008231F7" w:rsidP="00823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afterLines="50" w:after="120" w:line="360" w:lineRule="auto"/>
        <w:jc w:val="both"/>
        <w:rPr>
          <w:rFonts w:eastAsia="宋体"/>
          <w:color w:val="FF0000"/>
          <w:lang w:val="en-US" w:eastAsia="zh-CN"/>
        </w:rPr>
      </w:pPr>
      <w:r w:rsidRPr="008231F7">
        <w:rPr>
          <w:rFonts w:eastAsia="宋体"/>
          <w:b/>
          <w:bCs/>
          <w:color w:val="FF0000"/>
          <w:lang w:val="en-US" w:eastAsia="zh-CN"/>
        </w:rPr>
        <w:t>Figure S2</w:t>
      </w:r>
      <w:r>
        <w:rPr>
          <w:rFonts w:eastAsia="宋体"/>
          <w:b/>
          <w:bCs/>
          <w:color w:val="FF0000"/>
          <w:lang w:val="en-US" w:eastAsia="zh-CN"/>
        </w:rPr>
        <w:t>3</w:t>
      </w:r>
      <w:r w:rsidRPr="008231F7">
        <w:rPr>
          <w:rFonts w:eastAsia="宋体"/>
          <w:b/>
          <w:bCs/>
          <w:color w:val="FF0000"/>
          <w:lang w:val="en-US" w:eastAsia="zh-CN"/>
        </w:rPr>
        <w:t xml:space="preserve">. </w:t>
      </w:r>
      <w:r w:rsidRPr="008231F7">
        <w:rPr>
          <w:rFonts w:eastAsia="宋体"/>
          <w:color w:val="FF0000"/>
          <w:lang w:val="en-US" w:eastAsia="zh-CN"/>
        </w:rPr>
        <w:t>EIS spectra of L</w:t>
      </w:r>
      <w:r w:rsidRPr="008231F7">
        <w:rPr>
          <w:rFonts w:eastAsia="宋体" w:hint="eastAsia"/>
          <w:color w:val="FF0000"/>
          <w:lang w:val="en-US" w:eastAsia="zh-CN"/>
        </w:rPr>
        <w:t>i</w:t>
      </w:r>
      <w:r w:rsidRPr="008231F7">
        <w:rPr>
          <w:rFonts w:eastAsia="宋体"/>
          <w:color w:val="FF0000"/>
          <w:lang w:val="en-US" w:eastAsia="zh-CN"/>
        </w:rPr>
        <w:t xml:space="preserve">||Li symmetric cells with (A) PLCN and (B) PL </w:t>
      </w:r>
      <w:r w:rsidRPr="008231F7">
        <w:rPr>
          <w:rFonts w:eastAsia="宋体" w:hint="eastAsia"/>
          <w:color w:val="FF0000"/>
          <w:lang w:val="en-US" w:eastAsia="zh-CN"/>
        </w:rPr>
        <w:t>b</w:t>
      </w:r>
      <w:r w:rsidRPr="008231F7">
        <w:rPr>
          <w:rFonts w:eastAsia="宋体"/>
          <w:color w:val="FF0000"/>
          <w:lang w:val="en-US" w:eastAsia="zh-CN"/>
        </w:rPr>
        <w:t xml:space="preserve">efore cycle and after cycling 100 h. </w:t>
      </w:r>
    </w:p>
    <w:p w14:paraId="5DD9D7E5" w14:textId="77777777" w:rsidR="00EC3895" w:rsidRPr="008231F7" w:rsidRDefault="00EC3895" w:rsidP="00555B75">
      <w:pPr>
        <w:spacing w:line="480" w:lineRule="auto"/>
        <w:jc w:val="both"/>
        <w:rPr>
          <w:lang w:val="en-US"/>
        </w:rPr>
      </w:pPr>
    </w:p>
    <w:p w14:paraId="093C4B0E" w14:textId="77777777" w:rsidR="00EC3895" w:rsidRPr="004307B0" w:rsidRDefault="00EC3895" w:rsidP="00555B75">
      <w:pPr>
        <w:spacing w:line="480" w:lineRule="auto"/>
        <w:jc w:val="center"/>
      </w:pPr>
      <w:r>
        <w:rPr>
          <w:noProof/>
        </w:rPr>
        <w:lastRenderedPageBreak/>
        <w:drawing>
          <wp:inline distT="0" distB="0" distL="0" distR="0" wp14:anchorId="57CF3DE9" wp14:editId="4486ECE2">
            <wp:extent cx="3752278" cy="2664000"/>
            <wp:effectExtent l="0" t="0" r="635" b="3175"/>
            <wp:docPr id="5361307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0728" name="图片 5361307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52278" cy="2664000"/>
                    </a:xfrm>
                    <a:prstGeom prst="rect">
                      <a:avLst/>
                    </a:prstGeom>
                  </pic:spPr>
                </pic:pic>
              </a:graphicData>
            </a:graphic>
          </wp:inline>
        </w:drawing>
      </w:r>
    </w:p>
    <w:p w14:paraId="691809E9" w14:textId="13FC5E93" w:rsidR="00EC3895" w:rsidRDefault="00EC3895" w:rsidP="00555B75">
      <w:pPr>
        <w:spacing w:line="480" w:lineRule="auto"/>
        <w:jc w:val="both"/>
      </w:pPr>
      <w:r w:rsidRPr="00332F00">
        <w:rPr>
          <w:b/>
        </w:rPr>
        <w:t xml:space="preserve">Figure </w:t>
      </w:r>
      <w:r>
        <w:rPr>
          <w:b/>
        </w:rPr>
        <w:t>S2</w:t>
      </w:r>
      <w:r w:rsidR="008231F7">
        <w:rPr>
          <w:b/>
        </w:rPr>
        <w:t>4</w:t>
      </w:r>
      <w:r w:rsidRPr="00D42A4E">
        <w:rPr>
          <w:b/>
        </w:rPr>
        <w:t>.</w:t>
      </w:r>
      <w:r w:rsidRPr="004307B0">
        <w:t xml:space="preserve"> </w:t>
      </w:r>
      <w:bookmarkStart w:id="14" w:name="_Hlk144732385"/>
      <w:r w:rsidRPr="004307B0">
        <w:t>(</w:t>
      </w:r>
      <w:r>
        <w:t>A</w:t>
      </w:r>
      <w:r w:rsidRPr="004307B0">
        <w:t>) The surface SEM image and (</w:t>
      </w:r>
      <w:r>
        <w:t>B</w:t>
      </w:r>
      <w:r w:rsidRPr="004307B0">
        <w:t>) corresponding F-element mapping image of Li electrode obtained from Li||(PLCN)||Li symmetric cells after cycling 120 h. (</w:t>
      </w:r>
      <w:r>
        <w:t>C</w:t>
      </w:r>
      <w:r w:rsidRPr="004307B0">
        <w:t xml:space="preserve">) The surface SEM image of Li electrode obtained from Li||(PL)||Li symmetric cells </w:t>
      </w:r>
      <w:r w:rsidRPr="004307B0">
        <w:rPr>
          <w:rFonts w:hint="eastAsia"/>
        </w:rPr>
        <w:t xml:space="preserve">after </w:t>
      </w:r>
      <w:r w:rsidRPr="004307B0">
        <w:t>cycling 120 h</w:t>
      </w:r>
      <w:bookmarkEnd w:id="14"/>
      <w:r w:rsidRPr="004307B0">
        <w:t>. (</w:t>
      </w:r>
      <w:r>
        <w:t>D</w:t>
      </w:r>
      <w:r w:rsidRPr="004307B0">
        <w:t xml:space="preserve">) The relative abundance of the components in the Li electrode obtained from Li||Li symmetric cells </w:t>
      </w:r>
      <w:r w:rsidRPr="004307B0">
        <w:rPr>
          <w:rFonts w:hint="eastAsia"/>
        </w:rPr>
        <w:t xml:space="preserve">after </w:t>
      </w:r>
      <w:r w:rsidRPr="004307B0">
        <w:t>cycling 120 h.</w:t>
      </w:r>
    </w:p>
    <w:p w14:paraId="5A4127D4" w14:textId="77777777" w:rsidR="00EC3895" w:rsidRPr="004307B0" w:rsidRDefault="00EC3895" w:rsidP="00555B75">
      <w:pPr>
        <w:spacing w:line="480" w:lineRule="auto"/>
        <w:jc w:val="both"/>
      </w:pPr>
    </w:p>
    <w:p w14:paraId="10A1D758" w14:textId="77777777" w:rsidR="00EC3895" w:rsidRPr="004307B0" w:rsidRDefault="00EC3895" w:rsidP="00555B75">
      <w:pPr>
        <w:spacing w:line="480" w:lineRule="auto"/>
        <w:jc w:val="center"/>
      </w:pPr>
      <w:r>
        <w:rPr>
          <w:noProof/>
        </w:rPr>
        <w:drawing>
          <wp:inline distT="0" distB="0" distL="0" distR="0" wp14:anchorId="073A80C2" wp14:editId="6A6A401B">
            <wp:extent cx="3837600" cy="1918800"/>
            <wp:effectExtent l="0" t="0" r="0" b="5715"/>
            <wp:docPr id="14373770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77076" name="图片 143737707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7600" cy="1918800"/>
                    </a:xfrm>
                    <a:prstGeom prst="rect">
                      <a:avLst/>
                    </a:prstGeom>
                  </pic:spPr>
                </pic:pic>
              </a:graphicData>
            </a:graphic>
          </wp:inline>
        </w:drawing>
      </w:r>
    </w:p>
    <w:p w14:paraId="2BCF10F4" w14:textId="65B87F6B" w:rsidR="00EC3895" w:rsidRPr="004307B0" w:rsidRDefault="00EC3895" w:rsidP="00555B75">
      <w:pPr>
        <w:spacing w:line="480" w:lineRule="auto"/>
        <w:jc w:val="both"/>
      </w:pPr>
      <w:r w:rsidRPr="00332F00">
        <w:rPr>
          <w:b/>
        </w:rPr>
        <w:t xml:space="preserve">Figure </w:t>
      </w:r>
      <w:r>
        <w:rPr>
          <w:b/>
        </w:rPr>
        <w:t>S2</w:t>
      </w:r>
      <w:r w:rsidR="008231F7">
        <w:rPr>
          <w:b/>
        </w:rPr>
        <w:t>5</w:t>
      </w:r>
      <w:r w:rsidRPr="00D42A4E">
        <w:rPr>
          <w:b/>
        </w:rPr>
        <w:t>.</w:t>
      </w:r>
      <w:r w:rsidRPr="004307B0">
        <w:rPr>
          <w:rFonts w:hint="eastAsia"/>
          <w:b/>
        </w:rPr>
        <w:t xml:space="preserve"> </w:t>
      </w:r>
      <w:r w:rsidRPr="004307B0">
        <w:t>The S2-N and S2-C2 bond length in (</w:t>
      </w:r>
      <w:r>
        <w:t>A</w:t>
      </w:r>
      <w:r w:rsidRPr="004307B0">
        <w:t>) free and (</w:t>
      </w:r>
      <w:r>
        <w:t>B</w:t>
      </w:r>
      <w:r w:rsidRPr="004307B0">
        <w:t>) adsorbed TFSI</w:t>
      </w:r>
      <w:r>
        <w:t xml:space="preserve"> on CNO nanosheet</w:t>
      </w:r>
      <w:r w:rsidRPr="004307B0">
        <w:t>.</w:t>
      </w:r>
    </w:p>
    <w:p w14:paraId="41CA2D25" w14:textId="77777777" w:rsidR="00EC3895" w:rsidRPr="004307B0" w:rsidRDefault="00EC3895" w:rsidP="00555B75">
      <w:pPr>
        <w:spacing w:line="480" w:lineRule="auto"/>
        <w:jc w:val="center"/>
      </w:pPr>
      <w:bookmarkStart w:id="15" w:name="_Hlk162811456"/>
      <w:r>
        <w:rPr>
          <w:noProof/>
        </w:rPr>
        <w:lastRenderedPageBreak/>
        <w:drawing>
          <wp:inline distT="0" distB="0" distL="0" distR="0" wp14:anchorId="092A3D67" wp14:editId="348259FB">
            <wp:extent cx="3643746" cy="1605600"/>
            <wp:effectExtent l="0" t="0" r="0" b="0"/>
            <wp:docPr id="714109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09108" name="图片 71410910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43746" cy="1605600"/>
                    </a:xfrm>
                    <a:prstGeom prst="rect">
                      <a:avLst/>
                    </a:prstGeom>
                  </pic:spPr>
                </pic:pic>
              </a:graphicData>
            </a:graphic>
          </wp:inline>
        </w:drawing>
      </w:r>
    </w:p>
    <w:p w14:paraId="0432A961" w14:textId="6452B7AC" w:rsidR="00EC3895" w:rsidRDefault="00EC3895" w:rsidP="00555B75">
      <w:pPr>
        <w:spacing w:line="480" w:lineRule="auto"/>
        <w:jc w:val="both"/>
      </w:pPr>
      <w:r w:rsidRPr="00332F00">
        <w:rPr>
          <w:b/>
        </w:rPr>
        <w:t xml:space="preserve">Figure </w:t>
      </w:r>
      <w:r>
        <w:rPr>
          <w:b/>
        </w:rPr>
        <w:t>S2</w:t>
      </w:r>
      <w:r w:rsidR="008231F7">
        <w:rPr>
          <w:b/>
        </w:rPr>
        <w:t>6</w:t>
      </w:r>
      <w:r w:rsidRPr="00D42A4E">
        <w:rPr>
          <w:b/>
        </w:rPr>
        <w:t>.</w:t>
      </w:r>
      <w:r w:rsidRPr="004307B0">
        <w:rPr>
          <w:bCs/>
        </w:rPr>
        <w:t xml:space="preserve"> </w:t>
      </w:r>
      <w:r w:rsidRPr="004307B0">
        <w:t>EIS spectra of</w:t>
      </w:r>
      <w:r w:rsidRPr="004307B0">
        <w:rPr>
          <w:rFonts w:hint="eastAsia"/>
        </w:rPr>
        <w:t xml:space="preserve"> (</w:t>
      </w:r>
      <w:r>
        <w:t>A</w:t>
      </w:r>
      <w:r w:rsidRPr="004307B0">
        <w:rPr>
          <w:rFonts w:hint="eastAsia"/>
        </w:rPr>
        <w:t>)</w:t>
      </w:r>
      <w:r w:rsidRPr="004307B0">
        <w:t xml:space="preserve"> Li||(PLCN</w:t>
      </w:r>
      <w:bookmarkStart w:id="16" w:name="OLE_LINK26"/>
      <w:bookmarkStart w:id="17" w:name="OLE_LINK27"/>
      <w:r w:rsidRPr="004307B0">
        <w:t xml:space="preserve">)||Li and </w:t>
      </w:r>
      <w:r w:rsidRPr="004307B0">
        <w:rPr>
          <w:rFonts w:hint="eastAsia"/>
        </w:rPr>
        <w:t>(</w:t>
      </w:r>
      <w:r>
        <w:t>B</w:t>
      </w:r>
      <w:r w:rsidRPr="004307B0">
        <w:rPr>
          <w:rFonts w:hint="eastAsia"/>
        </w:rPr>
        <w:t xml:space="preserve">) </w:t>
      </w:r>
      <w:r w:rsidRPr="004307B0">
        <w:t>Li||(PL)||Li symmetric</w:t>
      </w:r>
      <w:bookmarkEnd w:id="16"/>
      <w:bookmarkEnd w:id="17"/>
      <w:r w:rsidRPr="004307B0">
        <w:t xml:space="preserve"> cells with time evolution at 60 °C. </w:t>
      </w:r>
    </w:p>
    <w:bookmarkEnd w:id="15"/>
    <w:p w14:paraId="2698A5E9" w14:textId="262168A0" w:rsidR="00EC3895" w:rsidRDefault="003D56AB" w:rsidP="003D56AB">
      <w:pPr>
        <w:spacing w:line="480" w:lineRule="auto"/>
        <w:jc w:val="center"/>
      </w:pPr>
      <w:r>
        <w:rPr>
          <w:noProof/>
        </w:rPr>
        <w:drawing>
          <wp:inline distT="0" distB="0" distL="0" distR="0" wp14:anchorId="6AB78D6D" wp14:editId="7926849B">
            <wp:extent cx="4600575" cy="1899157"/>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06592" cy="1901641"/>
                    </a:xfrm>
                    <a:prstGeom prst="rect">
                      <a:avLst/>
                    </a:prstGeom>
                  </pic:spPr>
                </pic:pic>
              </a:graphicData>
            </a:graphic>
          </wp:inline>
        </w:drawing>
      </w:r>
    </w:p>
    <w:p w14:paraId="467CA913" w14:textId="52537AC3" w:rsidR="008231F7" w:rsidRPr="003D56AB" w:rsidRDefault="003D56AB" w:rsidP="00555B75">
      <w:pPr>
        <w:spacing w:line="480" w:lineRule="auto"/>
        <w:jc w:val="both"/>
        <w:rPr>
          <w:color w:val="FF0000"/>
          <w:lang w:val="en-US"/>
        </w:rPr>
      </w:pPr>
      <w:r w:rsidRPr="003D56AB">
        <w:rPr>
          <w:rFonts w:hint="eastAsia"/>
          <w:b/>
          <w:bCs/>
          <w:color w:val="FF0000"/>
          <w:lang w:val="en-US"/>
        </w:rPr>
        <w:t>F</w:t>
      </w:r>
      <w:r w:rsidRPr="003D56AB">
        <w:rPr>
          <w:b/>
          <w:bCs/>
          <w:color w:val="FF0000"/>
          <w:lang w:val="en-US"/>
        </w:rPr>
        <w:t>igure S27.</w:t>
      </w:r>
      <w:r w:rsidRPr="003D56AB">
        <w:rPr>
          <w:color w:val="FF0000"/>
          <w:lang w:val="en-US"/>
        </w:rPr>
        <w:t xml:space="preserve"> The charging/discharging curves of LFP|| Li full battery with (A) PLCN and (B) PL at 0.5 C and 60 </w:t>
      </w:r>
      <w:proofErr w:type="spellStart"/>
      <w:r w:rsidRPr="003D56AB">
        <w:rPr>
          <w:color w:val="FF0000"/>
          <w:vertAlign w:val="superscript"/>
          <w:lang w:val="en-US"/>
        </w:rPr>
        <w:t>o</w:t>
      </w:r>
      <w:r w:rsidRPr="003D56AB">
        <w:rPr>
          <w:color w:val="FF0000"/>
          <w:lang w:val="en-US"/>
        </w:rPr>
        <w:t>C.</w:t>
      </w:r>
      <w:proofErr w:type="spellEnd"/>
    </w:p>
    <w:p w14:paraId="4921B3E9" w14:textId="77777777" w:rsidR="00EC3895" w:rsidRPr="004307B0" w:rsidRDefault="00EC3895" w:rsidP="00555B75">
      <w:pPr>
        <w:spacing w:line="480" w:lineRule="auto"/>
        <w:jc w:val="center"/>
      </w:pPr>
      <w:r>
        <w:rPr>
          <w:noProof/>
        </w:rPr>
        <w:drawing>
          <wp:inline distT="0" distB="0" distL="0" distR="0" wp14:anchorId="07C2C98E" wp14:editId="56BAF81E">
            <wp:extent cx="4548659" cy="2246400"/>
            <wp:effectExtent l="0" t="0" r="4445" b="1905"/>
            <wp:docPr id="16313424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2495" name="图片 163134249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48659" cy="2246400"/>
                    </a:xfrm>
                    <a:prstGeom prst="rect">
                      <a:avLst/>
                    </a:prstGeom>
                  </pic:spPr>
                </pic:pic>
              </a:graphicData>
            </a:graphic>
          </wp:inline>
        </w:drawing>
      </w:r>
    </w:p>
    <w:p w14:paraId="2CFFCA70" w14:textId="3DB4D143" w:rsidR="00EC3895" w:rsidRDefault="00EC3895" w:rsidP="00555B75">
      <w:pPr>
        <w:spacing w:line="480" w:lineRule="auto"/>
        <w:jc w:val="both"/>
      </w:pPr>
      <w:r w:rsidRPr="00332F00">
        <w:rPr>
          <w:b/>
        </w:rPr>
        <w:t xml:space="preserve">Figure </w:t>
      </w:r>
      <w:r>
        <w:rPr>
          <w:b/>
        </w:rPr>
        <w:t>S2</w:t>
      </w:r>
      <w:r w:rsidR="008231F7">
        <w:rPr>
          <w:b/>
        </w:rPr>
        <w:t>8</w:t>
      </w:r>
      <w:r w:rsidRPr="00D42A4E">
        <w:rPr>
          <w:b/>
        </w:rPr>
        <w:t>.</w:t>
      </w:r>
      <w:r w:rsidRPr="004307B0">
        <w:t xml:space="preserve"> Cycle performance of LFP||Li full batteries at (</w:t>
      </w:r>
      <w:r>
        <w:t>A</w:t>
      </w:r>
      <w:r w:rsidRPr="004307B0">
        <w:t>) 0.2 C</w:t>
      </w:r>
      <w:r w:rsidRPr="004307B0">
        <w:rPr>
          <w:rFonts w:hint="eastAsia"/>
        </w:rPr>
        <w:t xml:space="preserve">. </w:t>
      </w:r>
      <w:r w:rsidRPr="004307B0">
        <w:t>(</w:t>
      </w:r>
      <w:r>
        <w:t>B</w:t>
      </w:r>
      <w:r w:rsidRPr="004307B0">
        <w:t>) Charge-discharge curves of the 20th, 40th and 60th cycle for LFP||(PLCN)||Li and LFP||(PL)||Li full batteries at 0.2 C.</w:t>
      </w:r>
    </w:p>
    <w:p w14:paraId="6C05E787" w14:textId="77777777" w:rsidR="00EC3895" w:rsidRDefault="00EC3895" w:rsidP="00555B75">
      <w:pPr>
        <w:spacing w:line="480" w:lineRule="auto"/>
        <w:jc w:val="both"/>
      </w:pPr>
    </w:p>
    <w:p w14:paraId="399012C4" w14:textId="77777777" w:rsidR="00EC3895" w:rsidRPr="004307B0" w:rsidRDefault="00EC3895" w:rsidP="00555B75">
      <w:pPr>
        <w:spacing w:line="480" w:lineRule="auto"/>
        <w:jc w:val="both"/>
      </w:pPr>
    </w:p>
    <w:p w14:paraId="672CB242" w14:textId="77777777" w:rsidR="00EC3895" w:rsidRPr="004307B0" w:rsidRDefault="00EC3895" w:rsidP="00555B75">
      <w:pPr>
        <w:spacing w:line="480" w:lineRule="auto"/>
        <w:jc w:val="center"/>
      </w:pPr>
      <w:r>
        <w:rPr>
          <w:noProof/>
        </w:rPr>
        <w:drawing>
          <wp:inline distT="0" distB="0" distL="0" distR="0" wp14:anchorId="5DCD8531" wp14:editId="307B9107">
            <wp:extent cx="5274310" cy="1786890"/>
            <wp:effectExtent l="0" t="0" r="2540" b="3810"/>
            <wp:docPr id="6451062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6299" name="图片 64510629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1786890"/>
                    </a:xfrm>
                    <a:prstGeom prst="rect">
                      <a:avLst/>
                    </a:prstGeom>
                  </pic:spPr>
                </pic:pic>
              </a:graphicData>
            </a:graphic>
          </wp:inline>
        </w:drawing>
      </w:r>
    </w:p>
    <w:p w14:paraId="38BF6BA3" w14:textId="612CF9A1" w:rsidR="00EC3895" w:rsidRDefault="00EC3895" w:rsidP="00555B75">
      <w:pPr>
        <w:spacing w:line="480" w:lineRule="auto"/>
        <w:jc w:val="both"/>
      </w:pPr>
      <w:r w:rsidRPr="00332F00">
        <w:rPr>
          <w:b/>
        </w:rPr>
        <w:t xml:space="preserve">Figure </w:t>
      </w:r>
      <w:r>
        <w:rPr>
          <w:b/>
        </w:rPr>
        <w:t>S2</w:t>
      </w:r>
      <w:r w:rsidR="003D56AB">
        <w:rPr>
          <w:b/>
        </w:rPr>
        <w:t>9</w:t>
      </w:r>
      <w:r w:rsidRPr="00D42A4E">
        <w:rPr>
          <w:b/>
        </w:rPr>
        <w:t>.</w:t>
      </w:r>
      <w:r w:rsidRPr="004307B0">
        <w:t xml:space="preserve"> The surface morphologies of Li electrode obtained from (</w:t>
      </w:r>
      <w:r>
        <w:t>A</w:t>
      </w:r>
      <w:r w:rsidRPr="004307B0">
        <w:t xml:space="preserve">) LFP||(PLCN)||Li and </w:t>
      </w:r>
      <w:r>
        <w:t xml:space="preserve">(B) </w:t>
      </w:r>
      <w:r w:rsidRPr="004307B0">
        <w:t>LFP||(PL)||Li batteries after cycling 10 cycles at 0.2</w:t>
      </w:r>
      <w:r>
        <w:t xml:space="preserve"> </w:t>
      </w:r>
      <w:r w:rsidRPr="004307B0">
        <w:t>C.</w:t>
      </w:r>
    </w:p>
    <w:p w14:paraId="22912801" w14:textId="77777777" w:rsidR="00EC3895" w:rsidRPr="004307B0" w:rsidRDefault="00EC3895" w:rsidP="00555B75">
      <w:pPr>
        <w:spacing w:line="480" w:lineRule="auto"/>
        <w:jc w:val="both"/>
      </w:pPr>
    </w:p>
    <w:p w14:paraId="35B87565" w14:textId="3D650AC8" w:rsidR="00EC3895" w:rsidRPr="004307B0" w:rsidRDefault="001603D9" w:rsidP="00555B75">
      <w:pPr>
        <w:spacing w:line="480" w:lineRule="auto"/>
        <w:jc w:val="center"/>
      </w:pPr>
      <w:r>
        <w:rPr>
          <w:noProof/>
        </w:rPr>
        <w:drawing>
          <wp:inline distT="0" distB="0" distL="0" distR="0" wp14:anchorId="685B7FF5" wp14:editId="4442A91B">
            <wp:extent cx="5760720" cy="21545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2154555"/>
                    </a:xfrm>
                    <a:prstGeom prst="rect">
                      <a:avLst/>
                    </a:prstGeom>
                  </pic:spPr>
                </pic:pic>
              </a:graphicData>
            </a:graphic>
          </wp:inline>
        </w:drawing>
      </w:r>
    </w:p>
    <w:p w14:paraId="007C8507" w14:textId="200D4C5C" w:rsidR="00EC3895" w:rsidRDefault="00EC3895" w:rsidP="00555B75">
      <w:pPr>
        <w:spacing w:line="480" w:lineRule="auto"/>
        <w:jc w:val="both"/>
      </w:pPr>
      <w:r w:rsidRPr="00332F00">
        <w:rPr>
          <w:b/>
        </w:rPr>
        <w:t xml:space="preserve">Figure </w:t>
      </w:r>
      <w:r>
        <w:rPr>
          <w:b/>
        </w:rPr>
        <w:t>S</w:t>
      </w:r>
      <w:r w:rsidR="003D56AB">
        <w:rPr>
          <w:b/>
        </w:rPr>
        <w:t>30</w:t>
      </w:r>
      <w:r>
        <w:rPr>
          <w:b/>
        </w:rPr>
        <w:t>.</w:t>
      </w:r>
      <w:r w:rsidRPr="004307B0">
        <w:t xml:space="preserve"> (</w:t>
      </w:r>
      <w:r>
        <w:t>A</w:t>
      </w:r>
      <w:r w:rsidRPr="004307B0">
        <w:t>) C 1s, F 1s and N 1s XPS spectra for lithium anode obtained from LFP||(PLCN)||Li and LFP||(PL)||Li batteries after cycling 10 cycles at 0.2 C.</w:t>
      </w:r>
      <w:r w:rsidRPr="004307B0">
        <w:rPr>
          <w:rFonts w:hint="eastAsia"/>
        </w:rPr>
        <w:t xml:space="preserve"> </w:t>
      </w:r>
      <w:r w:rsidRPr="004307B0">
        <w:t>(</w:t>
      </w:r>
      <w:r>
        <w:t>B</w:t>
      </w:r>
      <w:r w:rsidRPr="004307B0">
        <w:t xml:space="preserve">) The relative abundance of the components in the Li electrode from XPS spectra of </w:t>
      </w:r>
      <w:r w:rsidRPr="001D26C0">
        <w:t xml:space="preserve">Supplementary Figure 27 </w:t>
      </w:r>
      <w:r w:rsidRPr="004307B0">
        <w:t>(</w:t>
      </w:r>
      <w:r>
        <w:t>A</w:t>
      </w:r>
      <w:r w:rsidRPr="004307B0">
        <w:t>).</w:t>
      </w:r>
    </w:p>
    <w:p w14:paraId="44080F25" w14:textId="77777777" w:rsidR="00EC3895" w:rsidRPr="00CD02C6" w:rsidRDefault="00EC3895" w:rsidP="00555B75">
      <w:pPr>
        <w:spacing w:line="480" w:lineRule="auto"/>
        <w:jc w:val="both"/>
      </w:pPr>
    </w:p>
    <w:p w14:paraId="0439E1BA" w14:textId="08959813" w:rsidR="00EC3895" w:rsidRPr="004307B0" w:rsidRDefault="001603D9" w:rsidP="00555B75">
      <w:pPr>
        <w:spacing w:line="480" w:lineRule="auto"/>
        <w:jc w:val="center"/>
      </w:pPr>
      <w:r>
        <w:rPr>
          <w:noProof/>
        </w:rPr>
        <w:lastRenderedPageBreak/>
        <w:drawing>
          <wp:inline distT="0" distB="0" distL="0" distR="0" wp14:anchorId="6DF7CB92" wp14:editId="6E8A7161">
            <wp:extent cx="3800724" cy="174116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7271" cy="1744160"/>
                    </a:xfrm>
                    <a:prstGeom prst="rect">
                      <a:avLst/>
                    </a:prstGeom>
                  </pic:spPr>
                </pic:pic>
              </a:graphicData>
            </a:graphic>
          </wp:inline>
        </w:drawing>
      </w:r>
    </w:p>
    <w:p w14:paraId="3B954EFF" w14:textId="1C6E0EFF" w:rsidR="00EC3895" w:rsidRDefault="00EC3895" w:rsidP="00555B75">
      <w:pPr>
        <w:spacing w:line="480" w:lineRule="auto"/>
        <w:jc w:val="both"/>
      </w:pPr>
      <w:r w:rsidRPr="00332F00">
        <w:rPr>
          <w:b/>
        </w:rPr>
        <w:t xml:space="preserve">Figure </w:t>
      </w:r>
      <w:r>
        <w:rPr>
          <w:b/>
        </w:rPr>
        <w:t>S</w:t>
      </w:r>
      <w:r w:rsidR="003D56AB">
        <w:rPr>
          <w:b/>
        </w:rPr>
        <w:t>31</w:t>
      </w:r>
      <w:r w:rsidRPr="00D42A4E">
        <w:rPr>
          <w:b/>
        </w:rPr>
        <w:t>.</w:t>
      </w:r>
      <w:r w:rsidRPr="004307B0">
        <w:rPr>
          <w:bCs/>
        </w:rPr>
        <w:t xml:space="preserve"> </w:t>
      </w:r>
      <w:r w:rsidRPr="004307B0">
        <w:t>The TEM images of LFP electrode obtained from (</w:t>
      </w:r>
      <w:r>
        <w:t>A</w:t>
      </w:r>
      <w:r w:rsidRPr="004307B0">
        <w:t>) LFP||(PLCN)||Li</w:t>
      </w:r>
      <w:r w:rsidRPr="004307B0">
        <w:rPr>
          <w:rFonts w:hint="eastAsia"/>
        </w:rPr>
        <w:t xml:space="preserve"> </w:t>
      </w:r>
      <w:r w:rsidRPr="004307B0">
        <w:t>and (</w:t>
      </w:r>
      <w:r>
        <w:t>B</w:t>
      </w:r>
      <w:r w:rsidRPr="004307B0">
        <w:t>)</w:t>
      </w:r>
      <w:r>
        <w:t xml:space="preserve"> </w:t>
      </w:r>
      <w:r w:rsidRPr="004307B0">
        <w:t>LFP||(PL)||Li batteries after cycling 10 cycles at 0.2</w:t>
      </w:r>
      <w:r>
        <w:t xml:space="preserve"> </w:t>
      </w:r>
      <w:r w:rsidRPr="004307B0">
        <w:t xml:space="preserve">C. </w:t>
      </w:r>
    </w:p>
    <w:p w14:paraId="6A046FD7" w14:textId="77777777" w:rsidR="00EC3895" w:rsidRPr="004307B0" w:rsidRDefault="00EC3895" w:rsidP="00555B75">
      <w:pPr>
        <w:spacing w:line="480" w:lineRule="auto"/>
        <w:jc w:val="both"/>
      </w:pPr>
    </w:p>
    <w:p w14:paraId="474377D4" w14:textId="609C4F72" w:rsidR="00EC3895" w:rsidRPr="004307B0" w:rsidRDefault="009D78F0" w:rsidP="00555B75">
      <w:pPr>
        <w:spacing w:line="480" w:lineRule="auto"/>
        <w:jc w:val="center"/>
      </w:pPr>
      <w:r>
        <w:rPr>
          <w:noProof/>
        </w:rPr>
        <w:drawing>
          <wp:inline distT="0" distB="0" distL="0" distR="0" wp14:anchorId="67A0C05F" wp14:editId="68837521">
            <wp:extent cx="4094922" cy="2994005"/>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98517" cy="2996634"/>
                    </a:xfrm>
                    <a:prstGeom prst="rect">
                      <a:avLst/>
                    </a:prstGeom>
                  </pic:spPr>
                </pic:pic>
              </a:graphicData>
            </a:graphic>
          </wp:inline>
        </w:drawing>
      </w:r>
    </w:p>
    <w:p w14:paraId="0258C900" w14:textId="5B84B544" w:rsidR="00EC3895" w:rsidRPr="004307B0" w:rsidRDefault="00EC3895" w:rsidP="00555B75">
      <w:pPr>
        <w:spacing w:line="480" w:lineRule="auto"/>
        <w:jc w:val="both"/>
      </w:pPr>
      <w:r w:rsidRPr="00332F00">
        <w:rPr>
          <w:b/>
        </w:rPr>
        <w:t xml:space="preserve">Figure </w:t>
      </w:r>
      <w:r>
        <w:rPr>
          <w:b/>
        </w:rPr>
        <w:t>S</w:t>
      </w:r>
      <w:r w:rsidR="003D56AB">
        <w:rPr>
          <w:b/>
        </w:rPr>
        <w:t>32</w:t>
      </w:r>
      <w:r w:rsidRPr="00D42A4E">
        <w:rPr>
          <w:b/>
        </w:rPr>
        <w:t>.</w:t>
      </w:r>
      <w:r w:rsidRPr="004307B0">
        <w:rPr>
          <w:bCs/>
        </w:rPr>
        <w:t xml:space="preserve"> </w:t>
      </w:r>
      <w:r w:rsidRPr="004307B0">
        <w:t>C 1s, F 1s and N 1s XPS spectra for LFP obtained from LFP||(PLCN)||Li and LFP||(PL)||Li batteries after cycling 10 cycles at 0.2</w:t>
      </w:r>
      <w:r>
        <w:t xml:space="preserve"> </w:t>
      </w:r>
      <w:r w:rsidRPr="004307B0">
        <w:t>C.</w:t>
      </w:r>
    </w:p>
    <w:p w14:paraId="2323B555" w14:textId="77777777" w:rsidR="00EC3895" w:rsidRPr="004307B0" w:rsidRDefault="00EC3895" w:rsidP="00555B75">
      <w:pPr>
        <w:spacing w:line="480" w:lineRule="auto"/>
        <w:jc w:val="center"/>
      </w:pPr>
      <w:r w:rsidRPr="004307B0">
        <w:rPr>
          <w:noProof/>
        </w:rPr>
        <w:lastRenderedPageBreak/>
        <w:drawing>
          <wp:inline distT="0" distB="0" distL="0" distR="0" wp14:anchorId="53243218" wp14:editId="2EA2A6C0">
            <wp:extent cx="4086970" cy="3528417"/>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4.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86970" cy="3528417"/>
                    </a:xfrm>
                    <a:prstGeom prst="rect">
                      <a:avLst/>
                    </a:prstGeom>
                  </pic:spPr>
                </pic:pic>
              </a:graphicData>
            </a:graphic>
          </wp:inline>
        </w:drawing>
      </w:r>
    </w:p>
    <w:p w14:paraId="398B2E42" w14:textId="421F3382" w:rsidR="00EC3895" w:rsidRPr="004F0A56" w:rsidRDefault="00EC3895" w:rsidP="00555B75">
      <w:pPr>
        <w:spacing w:line="480" w:lineRule="auto"/>
        <w:jc w:val="both"/>
      </w:pPr>
      <w:r w:rsidRPr="00332F00">
        <w:rPr>
          <w:b/>
        </w:rPr>
        <w:t xml:space="preserve">Figure </w:t>
      </w:r>
      <w:r>
        <w:rPr>
          <w:b/>
        </w:rPr>
        <w:t>S3</w:t>
      </w:r>
      <w:r w:rsidR="003D56AB">
        <w:rPr>
          <w:b/>
        </w:rPr>
        <w:t>3</w:t>
      </w:r>
      <w:r w:rsidRPr="00D42A4E">
        <w:rPr>
          <w:b/>
        </w:rPr>
        <w:t>.</w:t>
      </w:r>
      <w:r w:rsidRPr="004307B0">
        <w:t xml:space="preserve"> Radar diagram of electrochemical performance comparison</w:t>
      </w:r>
      <w:r w:rsidRPr="004307B0">
        <w:rPr>
          <w:rFonts w:hint="eastAsia"/>
        </w:rPr>
        <w:t>,</w:t>
      </w:r>
      <w:r w:rsidRPr="004307B0">
        <w:t xml:space="preserve"> </w:t>
      </w:r>
      <w:r w:rsidRPr="004307B0">
        <w:rPr>
          <w:rFonts w:hint="eastAsia"/>
        </w:rPr>
        <w:t>w</w:t>
      </w:r>
      <w:r w:rsidRPr="004307B0">
        <w:t>here different fillers such as fluoromethyl modified polyamine</w:t>
      </w:r>
      <w:r w:rsidRPr="004307B0">
        <w:fldChar w:fldCharType="begin"/>
      </w:r>
      <w:r w:rsidR="00540F7B">
        <w:instrText xml:space="preserve"> ADDIN EN.CITE &lt;EndNote&gt;&lt;Cite&gt;&lt;Author&gt;Li&lt;/Author&gt;&lt;Year&gt;2021&lt;/Year&gt;&lt;RecNum&gt;127&lt;/RecNum&gt;&lt;DisplayText&gt;[8]&lt;/DisplayText&gt;&lt;record&gt;&lt;rec-number&gt;127&lt;/rec-number&gt;&lt;foreign-keys&gt;&lt;key app="EN" db-id="af9xpxwsdsptfqe05piva59vsdx9xrf0pxxw" timestamp="0"&gt;127&lt;/key&gt;&lt;/foreign-keys&gt;&lt;ref-type name="Journal Article"&gt;17&lt;/ref-type&gt;&lt;contributors&gt;&lt;authors&gt;&lt;author&gt;Li, Chenghan&lt;/author&gt;&lt;author&gt;Zhou, Shi&lt;/author&gt;&lt;author&gt;Dai, Lijie&lt;/author&gt;&lt;author&gt;Zhou, Xuanyi&lt;/author&gt;&lt;author&gt;Zhang, Biao&lt;/author&gt;&lt;author&gt;Chen, Liwen&lt;/author&gt;&lt;author&gt;Zeng, Tao&lt;/author&gt;&lt;author&gt;Liu, Yating&lt;/author&gt;&lt;author&gt;Tang, Yongfu&lt;/author&gt;&lt;author&gt;Jiang, Jie&lt;/author&gt;&lt;author&gt;Huang, Jianyu&lt;/author&gt;&lt;/authors&gt;&lt;/contributors&gt;&lt;titles&gt;&lt;title&gt;Porous polyamine/PEO composite solid electrolyte for high performance solid-state lithium metal batteries&lt;/title&gt;&lt;secondary-title&gt;J. Mater. Chem. A&lt;/secondary-title&gt;&lt;/titles&gt;&lt;pages&gt;24661-24669&lt;/pages&gt;&lt;volume&gt;9&lt;/volume&gt;&lt;number&gt;43&lt;/number&gt;&lt;section&gt;24661&lt;/section&gt;&lt;dates&gt;&lt;year&gt;2021&lt;/year&gt;&lt;/dates&gt;&lt;isbn&gt;2050-7488&amp;#xD;2050-7496&lt;/isbn&gt;&lt;urls&gt;&lt;/urls&gt;&lt;electronic-resource-num&gt;10.1039/d1ta04599g&lt;/electronic-resource-num&gt;&lt;/record&gt;&lt;/Cite&gt;&lt;/EndNote&gt;</w:instrText>
      </w:r>
      <w:r w:rsidRPr="004307B0">
        <w:fldChar w:fldCharType="separate"/>
      </w:r>
      <w:r w:rsidR="00540F7B">
        <w:rPr>
          <w:noProof/>
        </w:rPr>
        <w:t>[8]</w:t>
      </w:r>
      <w:r w:rsidRPr="004307B0">
        <w:fldChar w:fldCharType="end"/>
      </w:r>
      <w:r w:rsidR="00AF60A4">
        <w:t>,</w:t>
      </w:r>
      <w:r w:rsidRPr="004307B0">
        <w:t xml:space="preserve"> Ca-doped CeO</w:t>
      </w:r>
      <w:r w:rsidRPr="004307B0">
        <w:rPr>
          <w:vertAlign w:val="subscript"/>
        </w:rPr>
        <w:t>2</w:t>
      </w:r>
      <w:r w:rsidRPr="004307B0">
        <w:fldChar w:fldCharType="begin"/>
      </w:r>
      <w:r w:rsidR="00540F7B">
        <w:instrText xml:space="preserve"> ADDIN EN.CITE &lt;EndNote&gt;&lt;Cite&gt;&lt;Author&gt;Chen&lt;/Author&gt;&lt;Year&gt;2020&lt;/Year&gt;&lt;RecNum&gt;128&lt;/RecNum&gt;&lt;DisplayText&gt;[9]&lt;/DisplayText&gt;&lt;record&gt;&lt;rec-number&gt;128&lt;/rec-number&gt;&lt;foreign-keys&gt;&lt;key app="EN" db-id="af9xpxwsdsptfqe05piva59vsdx9xrf0pxxw" timestamp="0"&gt;128&lt;/key&gt;&lt;/foreign-keys&gt;&lt;ref-type name="Journal Article"&gt;17&lt;/ref-type&gt;&lt;contributors&gt;&lt;authors&gt;&lt;author&gt;Chen, Hao&lt;/author&gt;&lt;author&gt;Adekoya, David&lt;/author&gt;&lt;author&gt;Hencz, Luke&lt;/author&gt;&lt;author&gt;Ma, Jun&lt;/author&gt;&lt;author&gt;Chen, Su&lt;/author&gt;&lt;author&gt;Yan, Cheng&lt;/author&gt;&lt;author&gt;Zhao, Huijun&lt;/author&gt;&lt;author&gt;Cui, Guanglei&lt;/author&gt;&lt;author&gt;Zhang, Shanqing&lt;/author&gt;&lt;/authors&gt;&lt;/contributors&gt;&lt;titles&gt;&lt;title&gt;&lt;style face="normal" font="default" size="100%"&gt;Stable seamless interfaces and rapid ionic conductivity of Ca–CeO&lt;/style&gt;&lt;style face="subsc</w:instrText>
      </w:r>
      <w:r w:rsidR="00540F7B">
        <w:rPr>
          <w:rFonts w:hint="eastAsia"/>
        </w:rPr>
        <w:instrText>ript" font="default" size="100%"&gt;2&lt;/style&gt;&lt;style face="normal" font="default" size="100%"&gt;/LiTFSI/PEO composite electrolyte for high</w:instrText>
      </w:r>
      <w:r w:rsidR="00540F7B">
        <w:rPr>
          <w:rFonts w:hint="eastAsia"/>
        </w:rPr>
        <w:instrText>‐</w:instrText>
      </w:r>
      <w:r w:rsidR="00540F7B">
        <w:rPr>
          <w:rFonts w:hint="eastAsia"/>
        </w:rPr>
        <w:instrText>rate and high-voltage all</w:instrText>
      </w:r>
      <w:r w:rsidR="00540F7B">
        <w:rPr>
          <w:rFonts w:hint="eastAsia"/>
        </w:rPr>
        <w:instrText>‐</w:instrText>
      </w:r>
      <w:r w:rsidR="00540F7B">
        <w:rPr>
          <w:rFonts w:hint="eastAsia"/>
        </w:rPr>
        <w:instrText>solid</w:instrText>
      </w:r>
      <w:r w:rsidR="00540F7B">
        <w:rPr>
          <w:rFonts w:hint="eastAsia"/>
        </w:rPr>
        <w:instrText>‐</w:instrText>
      </w:r>
      <w:r w:rsidR="00540F7B">
        <w:rPr>
          <w:rFonts w:hint="eastAsia"/>
        </w:rPr>
        <w:instrText>state battery&lt;/style&gt;&lt;/title&gt;&lt;secondary-title&gt;Adv. Energy Mater.&lt;/secondary-title&gt;&lt;/titles</w:instrText>
      </w:r>
      <w:r w:rsidR="00540F7B">
        <w:instrText>&gt;&lt;pages&gt;2000049&lt;/pages&gt;&lt;volume&gt;10&lt;/volume&gt;&lt;number&gt;21&lt;/number&gt;&lt;section&gt;2000049&lt;/section&gt;&lt;dates&gt;&lt;year&gt;2020&lt;/year&gt;&lt;/dates&gt;&lt;isbn&gt;1614-6832&amp;#xD;1614-6840&lt;/isbn&gt;&lt;urls&gt;&lt;/urls&gt;&lt;electronic-resource-num&gt;10.1002/aenm.202000049&lt;/electronic-resource-num&gt;&lt;/record&gt;&lt;/Cite&gt;&lt;/EndNote&gt;</w:instrText>
      </w:r>
      <w:r w:rsidRPr="004307B0">
        <w:fldChar w:fldCharType="separate"/>
      </w:r>
      <w:r w:rsidR="00540F7B">
        <w:rPr>
          <w:noProof/>
        </w:rPr>
        <w:t>[9]</w:t>
      </w:r>
      <w:r w:rsidRPr="004307B0">
        <w:fldChar w:fldCharType="end"/>
      </w:r>
      <w:r w:rsidR="00AF60A4">
        <w:t>,</w:t>
      </w:r>
      <w:r w:rsidRPr="004307B0">
        <w:t xml:space="preserve"> TiO</w:t>
      </w:r>
      <w:r w:rsidRPr="004307B0">
        <w:rPr>
          <w:vertAlign w:val="subscript"/>
        </w:rPr>
        <w:t>2</w:t>
      </w:r>
      <w:r w:rsidRPr="004307B0">
        <w:t>@PDA</w:t>
      </w:r>
      <w:r w:rsidRPr="004307B0">
        <w:fldChar w:fldCharType="begin"/>
      </w:r>
      <w:r w:rsidR="00540F7B">
        <w:instrText xml:space="preserve"> ADDIN EN.CITE &lt;EndNote&gt;&lt;Cite&gt;&lt;Author&gt;Zhao&lt;/Author&gt;&lt;Year&gt;2022&lt;/Year&gt;&lt;RecNum&gt;129&lt;/RecNum&gt;&lt;DisplayText&gt;[10]&lt;/DisplayText&gt;&lt;record&gt;&lt;rec-number&gt;129&lt;/rec-number&gt;&lt;foreign-keys&gt;&lt;key app="EN" db-id="af9xpxwsdsptfqe05piva59vsdx9xrf0pxxw" timestamp="0"&gt;129&lt;/key&gt;&lt;/foreign-keys&gt;&lt;ref-type name="Journal Article"&gt;17&lt;/ref-type&gt;&lt;contributors&gt;&lt;authors&gt;&lt;author&gt;Zhao, E.&lt;/author&gt;&lt;author&gt;Guo, Y.&lt;/author&gt;&lt;author&gt;Zhang, A.&lt;/author&gt;&lt;author&gt;Wang, H.&lt;/author&gt;&lt;author&gt;Xu, G.&lt;/author&gt;&lt;/authors&gt;&lt;/contributors&gt;&lt;auth-address&gt;School of Chemistry and Chemical Engineering, Henan Institute of Science and Technology, Xinxiang 453003, China.&amp;#xD;School of Chemistry and Materials Engineering, Xinxiang University, Xinxiang 453003, China. guoydhappy@126.com.&lt;/auth-address&gt;&lt;titles&gt;&lt;title&gt;&lt;style face="normal" font="default" size="100%"&gt;Polydopamine coated TiO&lt;/style&gt;&lt;style face="subscript" font="default" size="100%"&gt;2&lt;/style&gt;&lt;style face="normal" font="default" size="100%"&gt; nanofiber fillers for polyethylene oxide hybrid electrolytes for efficient and durable all solid state lithium ion batteries&lt;/style&gt;&lt;/title&gt;&lt;secondary-title&gt;Nanoscale&lt;/secondary-title&gt;&lt;/titles&gt;&lt;pages&gt;890-897&lt;/pages&gt;&lt;volume&gt;14&lt;/volume&gt;&lt;number&gt;3&lt;/number&gt;&lt;edition&gt;2022/01/06&lt;/edition&gt;&lt;dates&gt;&lt;year&gt;2022&lt;/year&gt;&lt;pub-dates&gt;&lt;date&gt;Jan 20&lt;/date&gt;&lt;/pub-dates&gt;&lt;/dates&gt;&lt;isbn&gt;2040-3372 (Electronic)&amp;#xD;2040-3364 (Linking)&lt;/isbn&gt;&lt;accession-num&gt;34985490&lt;/accession-num&gt;&lt;urls&gt;&lt;related-urls&gt;&lt;url&gt;https://www.ncbi.nlm.nih.gov/pubmed/34985490&lt;/url&gt;&lt;/related-urls&gt;&lt;/urls&gt;&lt;electronic-resource-num&gt;10.1039/d1nr06636f&lt;/electronic-resource-num&gt;&lt;/record&gt;&lt;/Cite&gt;&lt;/EndNote&gt;</w:instrText>
      </w:r>
      <w:r w:rsidRPr="004307B0">
        <w:fldChar w:fldCharType="separate"/>
      </w:r>
      <w:r w:rsidR="00540F7B">
        <w:rPr>
          <w:noProof/>
        </w:rPr>
        <w:t>[10]</w:t>
      </w:r>
      <w:r w:rsidRPr="004307B0">
        <w:fldChar w:fldCharType="end"/>
      </w:r>
      <w:r w:rsidR="00AF60A4">
        <w:t>,</w:t>
      </w:r>
      <w:r w:rsidRPr="004307B0">
        <w:t xml:space="preserve"> g-C</w:t>
      </w:r>
      <w:r w:rsidRPr="004307B0">
        <w:rPr>
          <w:vertAlign w:val="subscript"/>
        </w:rPr>
        <w:t>3</w:t>
      </w:r>
      <w:r w:rsidRPr="004307B0">
        <w:t>N</w:t>
      </w:r>
      <w:r w:rsidRPr="004307B0">
        <w:rPr>
          <w:vertAlign w:val="subscript"/>
        </w:rPr>
        <w:t>4</w:t>
      </w:r>
      <w:r w:rsidRPr="004307B0">
        <w:fldChar w:fldCharType="begin"/>
      </w:r>
      <w:r w:rsidR="00540F7B">
        <w:instrText xml:space="preserve"> ADDIN EN.CITE &lt;EndNote&gt;&lt;Cite&gt;&lt;Author&gt;Sun&lt;/Author&gt;&lt;Year&gt;2019&lt;/Year&gt;&lt;RecNum&gt;130&lt;/RecNum&gt;&lt;DisplayText&gt;[11]&lt;/DisplayText&gt;&lt;record&gt;&lt;rec-number&gt;130&lt;/rec-number&gt;&lt;foreign-keys&gt;&lt;key app="EN" db-id="af9xpxwsdsptfqe05piva59vsdx9xrf0pxxw" timestamp="0"&gt;130&lt;/key&gt;&lt;/foreign-keys&gt;&lt;ref-type name="Journal Article"&gt;17&lt;/ref-type&gt;&lt;contributors&gt;&lt;authors&gt;&lt;author&gt;Sun, Zongjie&lt;/author&gt;&lt;author&gt;Li, Yuhan&lt;/author&gt;&lt;author&gt;Zhang, Shuyang&lt;/author&gt;&lt;author&gt;Shi, Lei&lt;/author&gt;&lt;author&gt;Wu, Hu&lt;/author&gt;&lt;author&gt;Bu, Huaitian&lt;/author&gt;&lt;author&gt;Ding, Shujiang&lt;/author&gt;&lt;/authors&gt;&lt;/contributors&gt;&lt;titles&gt;&lt;title&gt;&lt;style face="normal" font="default" size="100%"&gt;g-C&lt;/style&gt;&lt;style face="subscript" font="default" size="100%"&gt;3&lt;/style&gt;&lt;style face="normal" font="default" size="100%"&gt;N&lt;/style&gt;&lt;style face="subscript" font="default" size="100%"&gt;4&lt;/style&gt;&lt;style face="normal" font="default" size="100%"&gt; nanosheets enhanced solid polymer electrolytes with excellent electrochemical performance, mechanical properties, and thermal stability&lt;/style&gt;&lt;/title&gt;&lt;secondary-title&gt;J.  Mater. Chem. A&lt;/secondary-title&gt;&lt;/titles&gt;&lt;pages&gt;11069-11076&lt;/pages&gt;&lt;volume&gt;7&lt;/volume&gt;&lt;number&gt;18&lt;/number&gt;&lt;section&gt;11069&lt;/section&gt;&lt;dates&gt;&lt;year&gt;2019&lt;/year&gt;&lt;/dates&gt;&lt;isbn&gt;2050-7488&amp;#xD;2050-7496&lt;/isbn&gt;&lt;urls&gt;&lt;/urls&gt;&lt;electronic-resource-num&gt;10.1039/c9ta00634f&lt;/electronic-resource-num&gt;&lt;/record&gt;&lt;/Cite&gt;&lt;/EndNote&gt;</w:instrText>
      </w:r>
      <w:r w:rsidRPr="004307B0">
        <w:fldChar w:fldCharType="separate"/>
      </w:r>
      <w:r w:rsidR="00540F7B">
        <w:rPr>
          <w:noProof/>
        </w:rPr>
        <w:t>[11]</w:t>
      </w:r>
      <w:r w:rsidRPr="004307B0">
        <w:fldChar w:fldCharType="end"/>
      </w:r>
      <w:r w:rsidR="00AF60A4">
        <w:t>,</w:t>
      </w:r>
      <w:r w:rsidRPr="004307B0">
        <w:t xml:space="preserve"> and ZIF-67 MOFs</w:t>
      </w:r>
      <w:r w:rsidRPr="004307B0">
        <w:fldChar w:fldCharType="begin"/>
      </w:r>
      <w:r w:rsidR="00540F7B">
        <w:instrText xml:space="preserve"> ADDIN EN.CITE &lt;EndNote&gt;&lt;Cite&gt;&lt;Author&gt;Zhao&lt;/Author&gt;&lt;Year&gt;2022&lt;/Year&gt;&lt;RecNum&gt;131&lt;/RecNum&gt;&lt;DisplayText&gt;[12]&lt;/DisplayText&gt;&lt;record&gt;&lt;rec-number&gt;131&lt;/rec-number&gt;&lt;foreign-keys&gt;&lt;key app="EN" db-id="af9xpxwsdsptfqe05piva59vsdx9xrf0pxxw" timestamp="0"&gt;131&lt;/key&gt;&lt;/foreign-keys&gt;&lt;ref-type name="Journal Article"&gt;17&lt;/ref-type&gt;&lt;contributors&gt;&lt;authors&gt;&lt;author&gt;Zhao, Erqing&lt;/author&gt;&lt;author&gt;Guo, Yudi&lt;/author&gt;&lt;author&gt;Liu, Yaru&lt;/author&gt;&lt;author&gt;Liu, Shanqin&lt;/author&gt;&lt;author&gt;Xu, Guangri&lt;/author&gt;&lt;/authors&gt;&lt;/contributors&gt;&lt;titles&gt;&lt;title&gt;Nanostructured zeolitic imidazolate framework-67 reinforced poly(ethylene oxide) composite electrolytes for all solid state Lithium ion batteries&lt;/title&gt;&lt;secondary-title&gt;Appl. Surf. Sci.&lt;/secondary-title&gt;&lt;/titles&gt;&lt;pages&gt;151489&lt;/pages&gt;&lt;volume&gt;573&lt;/volume&gt;&lt;section&gt;151489&lt;/section&gt;&lt;dates&gt;&lt;year&gt;2022&lt;/year&gt;&lt;/dates&gt;&lt;isbn&gt;01694332&lt;/isbn&gt;&lt;urls&gt;&lt;/urls&gt;&lt;electronic-resource-num&gt;10.1016/j.apsusc.2021.151489&lt;/electronic-resource-num&gt;&lt;/record&gt;&lt;/Cite&gt;&lt;/EndNote&gt;</w:instrText>
      </w:r>
      <w:r w:rsidRPr="004307B0">
        <w:fldChar w:fldCharType="separate"/>
      </w:r>
      <w:r w:rsidR="00540F7B">
        <w:rPr>
          <w:noProof/>
        </w:rPr>
        <w:t>[12]</w:t>
      </w:r>
      <w:r w:rsidRPr="004307B0">
        <w:fldChar w:fldCharType="end"/>
      </w:r>
      <w:r w:rsidRPr="004307B0">
        <w:t xml:space="preserve"> are introduced into PEO respectively.</w:t>
      </w:r>
    </w:p>
    <w:p w14:paraId="7B12BF95" w14:textId="77777777" w:rsidR="00EC3895" w:rsidRPr="00EC3895" w:rsidRDefault="00EC3895" w:rsidP="00555B75">
      <w:pPr>
        <w:spacing w:line="360" w:lineRule="auto"/>
        <w:jc w:val="both"/>
      </w:pPr>
    </w:p>
    <w:p w14:paraId="2F670686" w14:textId="19E71D9C" w:rsidR="00EC3895" w:rsidRPr="00555B75" w:rsidRDefault="00555B75" w:rsidP="00555B75">
      <w:pPr>
        <w:spacing w:line="360" w:lineRule="auto"/>
        <w:jc w:val="both"/>
        <w:rPr>
          <w:b/>
          <w:bCs/>
          <w:lang w:val="en-US"/>
        </w:rPr>
      </w:pPr>
      <w:r w:rsidRPr="00555B75">
        <w:rPr>
          <w:b/>
          <w:bCs/>
          <w:lang w:val="en-US"/>
        </w:rPr>
        <w:t xml:space="preserve">References for the </w:t>
      </w:r>
      <w:r w:rsidR="00540F7B" w:rsidRPr="00540F7B">
        <w:rPr>
          <w:b/>
          <w:bCs/>
          <w:lang w:val="en-US"/>
        </w:rPr>
        <w:t>Supplementary materials</w:t>
      </w:r>
    </w:p>
    <w:p w14:paraId="34357C70" w14:textId="52679894" w:rsidR="00540F7B" w:rsidRDefault="00EC3895" w:rsidP="00B41A65">
      <w:pPr>
        <w:spacing w:line="360" w:lineRule="auto"/>
        <w:jc w:val="both"/>
        <w:rPr>
          <w:lang w:val="en-US"/>
        </w:rPr>
      </w:pPr>
      <w:r>
        <w:rPr>
          <w:noProof/>
          <w:lang w:val="en-US"/>
        </w:rPr>
        <w:fldChar w:fldCharType="begin"/>
      </w:r>
      <w:r>
        <w:rPr>
          <w:lang w:val="en-US"/>
        </w:rPr>
        <w:instrText xml:space="preserve"> ADDIN EN.SECTION.REFLIST </w:instrText>
      </w:r>
      <w:r w:rsidR="00BD66D5">
        <w:rPr>
          <w:noProof/>
          <w:lang w:val="en-US"/>
        </w:rPr>
        <w:fldChar w:fldCharType="separate"/>
      </w:r>
      <w:r>
        <w:rPr>
          <w:lang w:val="en-US"/>
        </w:rPr>
        <w:fldChar w:fldCharType="end"/>
      </w:r>
    </w:p>
    <w:p w14:paraId="0CB37169" w14:textId="77777777" w:rsidR="00D839B3" w:rsidRPr="00D839B3" w:rsidRDefault="00540F7B" w:rsidP="00D839B3">
      <w:pPr>
        <w:pStyle w:val="EndNoteBibliography"/>
        <w:spacing w:line="360" w:lineRule="auto"/>
        <w:jc w:val="both"/>
      </w:pPr>
      <w:r>
        <w:rPr>
          <w:lang w:val="en-US"/>
        </w:rPr>
        <w:fldChar w:fldCharType="begin"/>
      </w:r>
      <w:r>
        <w:rPr>
          <w:lang w:val="en-US"/>
        </w:rPr>
        <w:instrText xml:space="preserve"> ADDIN EN.REFLIST </w:instrText>
      </w:r>
      <w:r>
        <w:rPr>
          <w:lang w:val="en-US"/>
        </w:rPr>
        <w:fldChar w:fldCharType="separate"/>
      </w:r>
      <w:r w:rsidR="00D839B3" w:rsidRPr="00D839B3">
        <w:t>[1] Y. Ebina, T. Sasaki, M. Watanabe, Study on exfoliation of layered perovskite-type niobates, Solid State Ion. 151 (2002) 177-182.</w:t>
      </w:r>
    </w:p>
    <w:p w14:paraId="16E7ADF3" w14:textId="77777777" w:rsidR="00D839B3" w:rsidRPr="00D839B3" w:rsidRDefault="00D839B3" w:rsidP="00D839B3">
      <w:pPr>
        <w:pStyle w:val="EndNoteBibliography"/>
        <w:spacing w:line="360" w:lineRule="auto"/>
        <w:jc w:val="both"/>
      </w:pPr>
      <w:r w:rsidRPr="00D839B3">
        <w:t>[2] G. Kresse av, J. Furthmiiller, Efficiency of ab-initio total energy calculations for metals and semiconductors using a plane-wave basis set, Comp. Mater. Sci. 6 (1996) 15-50.</w:t>
      </w:r>
    </w:p>
    <w:p w14:paraId="6455E916" w14:textId="77777777" w:rsidR="00D839B3" w:rsidRPr="00D839B3" w:rsidRDefault="00D839B3" w:rsidP="00D839B3">
      <w:pPr>
        <w:pStyle w:val="EndNoteBibliography"/>
        <w:spacing w:line="360" w:lineRule="auto"/>
        <w:jc w:val="both"/>
      </w:pPr>
      <w:r w:rsidRPr="00D839B3">
        <w:t>[3] G. Kresse av, J. Furthmiiller, Efficient iterative schemes for ab initio total-energy calculations using a plane-wave basis set, Phys. Rev. B 54 (1996) 11169-11186.</w:t>
      </w:r>
    </w:p>
    <w:p w14:paraId="5AD731E9" w14:textId="77777777" w:rsidR="00D839B3" w:rsidRPr="00D839B3" w:rsidRDefault="00D839B3" w:rsidP="00D839B3">
      <w:pPr>
        <w:pStyle w:val="EndNoteBibliography"/>
        <w:spacing w:line="360" w:lineRule="auto"/>
        <w:jc w:val="both"/>
      </w:pPr>
      <w:r w:rsidRPr="00D839B3">
        <w:t>[4] M. Ernzerhof., J.P. Perdew, Generalized gradient approximation to the angle- and system-averaged exchange hole, J. Chem. Phys. 109 (1998) 3313-3319.</w:t>
      </w:r>
    </w:p>
    <w:p w14:paraId="7D52C417" w14:textId="77777777" w:rsidR="00D839B3" w:rsidRPr="00D839B3" w:rsidRDefault="00D839B3" w:rsidP="00D839B3">
      <w:pPr>
        <w:pStyle w:val="EndNoteBibliography"/>
        <w:spacing w:line="360" w:lineRule="auto"/>
        <w:jc w:val="both"/>
      </w:pPr>
      <w:r w:rsidRPr="00D839B3">
        <w:t>[5] S. Grimme, J. Antony, S. Ehrlich, H. Krieg, A consistent and accurate ab initio parametrization of density functional dispersion correction (DFT-D) for the 94 elements H-Pu, J. Chem. Phys. 132 (2010) 154104.</w:t>
      </w:r>
    </w:p>
    <w:p w14:paraId="1BC4DD5A" w14:textId="77777777" w:rsidR="00D839B3" w:rsidRPr="00D839B3" w:rsidRDefault="00D839B3" w:rsidP="00D839B3">
      <w:pPr>
        <w:pStyle w:val="EndNoteBibliography"/>
        <w:spacing w:line="360" w:lineRule="auto"/>
        <w:jc w:val="both"/>
      </w:pPr>
      <w:r w:rsidRPr="00D839B3">
        <w:lastRenderedPageBreak/>
        <w:t>[6] A.K. Rappé, C.J. Casewit, K.S. Colwell, W.A. Goddard, W.M. Skiff, UFF, a full periodic table force field for molecular mechanics and molecular dynamics simulations, J. Am. Chem. Soc. 114 (1992) 10024-10035.</w:t>
      </w:r>
    </w:p>
    <w:p w14:paraId="619EDA0E" w14:textId="77777777" w:rsidR="00D839B3" w:rsidRPr="00D839B3" w:rsidRDefault="00D839B3" w:rsidP="00D839B3">
      <w:pPr>
        <w:pStyle w:val="EndNoteBibliography"/>
        <w:spacing w:line="360" w:lineRule="auto"/>
        <w:jc w:val="both"/>
      </w:pPr>
      <w:r w:rsidRPr="00D839B3">
        <w:t>[7] Dassault Systemes BIOVIA, Materials Studio, 8.0, Dassault Systemes, San Diego,2017.</w:t>
      </w:r>
    </w:p>
    <w:p w14:paraId="56F2050B" w14:textId="77777777" w:rsidR="00D839B3" w:rsidRPr="00D839B3" w:rsidRDefault="00D839B3" w:rsidP="00D839B3">
      <w:pPr>
        <w:pStyle w:val="EndNoteBibliography"/>
        <w:spacing w:line="360" w:lineRule="auto"/>
        <w:jc w:val="both"/>
      </w:pPr>
      <w:r w:rsidRPr="00D839B3">
        <w:t>[8] C. Li, S. Zhou, L. Dai, X. Zhou, B. Zhang, L. Chen, T. Zeng, Y. Liu, Y. Tang, J. Jiang, J. Huang, Porous polyamine/PEO composite solid electrolyte for high performance solid-state lithium metal batteries, J. Mater. Chem. A 9 (2021) 24661-24669.</w:t>
      </w:r>
    </w:p>
    <w:p w14:paraId="2A8EDB41" w14:textId="77777777" w:rsidR="00D839B3" w:rsidRPr="00D839B3" w:rsidRDefault="00D839B3" w:rsidP="00D839B3">
      <w:pPr>
        <w:pStyle w:val="EndNoteBibliography"/>
        <w:spacing w:line="360" w:lineRule="auto"/>
        <w:jc w:val="both"/>
      </w:pPr>
      <w:r w:rsidRPr="00D839B3">
        <w:t>[9] H. Chen, D. Adekoya, L. Hencz, J. Ma, S. Chen, C. Yan, H. Zhao, G. Cui, S. Zhang, Stable seamless interfaces and rapid ionic conduct</w:t>
      </w:r>
      <w:r w:rsidRPr="00D839B3">
        <w:rPr>
          <w:rFonts w:hint="eastAsia"/>
        </w:rPr>
        <w:t>ivity of Ca</w:t>
      </w:r>
      <w:r w:rsidRPr="00D839B3">
        <w:rPr>
          <w:rFonts w:hint="eastAsia"/>
        </w:rPr>
        <w:t>–</w:t>
      </w:r>
      <w:r w:rsidRPr="00D839B3">
        <w:rPr>
          <w:rFonts w:hint="eastAsia"/>
        </w:rPr>
        <w:t>CeO</w:t>
      </w:r>
      <w:r w:rsidRPr="00D839B3">
        <w:rPr>
          <w:rFonts w:hint="eastAsia"/>
          <w:vertAlign w:val="subscript"/>
        </w:rPr>
        <w:t>2</w:t>
      </w:r>
      <w:r w:rsidRPr="00D839B3">
        <w:rPr>
          <w:rFonts w:hint="eastAsia"/>
        </w:rPr>
        <w:t>/LiTFSI/PEO composite electrolyte for high</w:t>
      </w:r>
      <w:r w:rsidRPr="00D839B3">
        <w:rPr>
          <w:rFonts w:hint="eastAsia"/>
        </w:rPr>
        <w:t>‐</w:t>
      </w:r>
      <w:r w:rsidRPr="00D839B3">
        <w:rPr>
          <w:rFonts w:hint="eastAsia"/>
        </w:rPr>
        <w:t>rate and high-voltage all</w:t>
      </w:r>
      <w:r w:rsidRPr="00D839B3">
        <w:rPr>
          <w:rFonts w:hint="eastAsia"/>
        </w:rPr>
        <w:t>‐</w:t>
      </w:r>
      <w:r w:rsidRPr="00D839B3">
        <w:rPr>
          <w:rFonts w:hint="eastAsia"/>
        </w:rPr>
        <w:t>solid</w:t>
      </w:r>
      <w:r w:rsidRPr="00D839B3">
        <w:rPr>
          <w:rFonts w:hint="eastAsia"/>
        </w:rPr>
        <w:t>‐</w:t>
      </w:r>
      <w:r w:rsidRPr="00D839B3">
        <w:rPr>
          <w:rFonts w:hint="eastAsia"/>
        </w:rPr>
        <w:t>state battery, Adv. Energy Mater. 10 (2020) 2000049.</w:t>
      </w:r>
    </w:p>
    <w:p w14:paraId="3609269F" w14:textId="77777777" w:rsidR="00D839B3" w:rsidRPr="00D839B3" w:rsidRDefault="00D839B3" w:rsidP="00D839B3">
      <w:pPr>
        <w:pStyle w:val="EndNoteBibliography"/>
        <w:spacing w:line="360" w:lineRule="auto"/>
        <w:jc w:val="both"/>
      </w:pPr>
      <w:r w:rsidRPr="00D839B3">
        <w:t>[10] E. Zhao, Y. Guo, A. Zhang, H. Wang, G. Xu, Polydopamine coated TiO</w:t>
      </w:r>
      <w:r w:rsidRPr="00D839B3">
        <w:rPr>
          <w:vertAlign w:val="subscript"/>
        </w:rPr>
        <w:t>2</w:t>
      </w:r>
      <w:r w:rsidRPr="00D839B3">
        <w:t xml:space="preserve"> nanofiber fillers for polyethylene oxide hybrid electrolytes for efficient and durable all solid state lithium ion batteries, Nanoscale 14 (2022) 890-897.</w:t>
      </w:r>
    </w:p>
    <w:p w14:paraId="2DDCCD1B" w14:textId="77777777" w:rsidR="00D839B3" w:rsidRPr="00D839B3" w:rsidRDefault="00D839B3" w:rsidP="00D839B3">
      <w:pPr>
        <w:pStyle w:val="EndNoteBibliography"/>
        <w:spacing w:line="360" w:lineRule="auto"/>
        <w:jc w:val="both"/>
      </w:pPr>
      <w:r w:rsidRPr="00D839B3">
        <w:t>[11] Z. Sun, Y. Li, S. Zhang, L. Shi, H. Wu, H. Bu, S. Ding, g-C</w:t>
      </w:r>
      <w:r w:rsidRPr="00D839B3">
        <w:rPr>
          <w:vertAlign w:val="subscript"/>
        </w:rPr>
        <w:t>3</w:t>
      </w:r>
      <w:r w:rsidRPr="00D839B3">
        <w:t>N</w:t>
      </w:r>
      <w:r w:rsidRPr="00D839B3">
        <w:rPr>
          <w:vertAlign w:val="subscript"/>
        </w:rPr>
        <w:t>4</w:t>
      </w:r>
      <w:r w:rsidRPr="00D839B3">
        <w:t xml:space="preserve"> nanosheets enhanced solid polymer electrolytes with excellent electrochemical performance, mechanical properties, and thermal stability, J.  Mater. Chem. A 7 (2019) 11069-11076.</w:t>
      </w:r>
    </w:p>
    <w:p w14:paraId="1D4A7B9A" w14:textId="77777777" w:rsidR="00D839B3" w:rsidRPr="00D839B3" w:rsidRDefault="00D839B3" w:rsidP="00D839B3">
      <w:pPr>
        <w:pStyle w:val="EndNoteBibliography"/>
        <w:spacing w:line="360" w:lineRule="auto"/>
        <w:jc w:val="both"/>
      </w:pPr>
      <w:r w:rsidRPr="00D839B3">
        <w:t>[12] E. Zhao, Y. Guo, Y. Liu, S. Liu, G. Xu, Nanostructured zeolitic imidazolate framework-67 reinforced poly(ethylene oxide) composite electrolytes for all solid state Lithium ion batteries, Appl. Surf. Sci. 573 (2022) 151489.</w:t>
      </w:r>
    </w:p>
    <w:p w14:paraId="479F45B1" w14:textId="2F37105B" w:rsidR="004A7D3E" w:rsidRPr="00AB3126" w:rsidRDefault="00540F7B" w:rsidP="007142BF">
      <w:pPr>
        <w:spacing w:line="360" w:lineRule="auto"/>
        <w:jc w:val="both"/>
        <w:rPr>
          <w:lang w:val="en-US"/>
        </w:rPr>
      </w:pPr>
      <w:r>
        <w:rPr>
          <w:lang w:val="en-US"/>
        </w:rPr>
        <w:fldChar w:fldCharType="end"/>
      </w:r>
    </w:p>
    <w:sectPr w:rsidR="004A7D3E" w:rsidRPr="00AB3126" w:rsidSect="00477465">
      <w:headerReference w:type="default" r:id="rId43"/>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6065" w14:textId="77777777" w:rsidR="00BD66D5" w:rsidRDefault="00BD66D5">
      <w:r>
        <w:separator/>
      </w:r>
    </w:p>
  </w:endnote>
  <w:endnote w:type="continuationSeparator" w:id="0">
    <w:p w14:paraId="362E2864" w14:textId="77777777" w:rsidR="00BD66D5" w:rsidRDefault="00BD6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5F07D" w14:textId="77777777" w:rsidR="00BD66D5" w:rsidRDefault="00BD66D5">
      <w:r>
        <w:separator/>
      </w:r>
    </w:p>
  </w:footnote>
  <w:footnote w:type="continuationSeparator" w:id="0">
    <w:p w14:paraId="143C7333" w14:textId="77777777" w:rsidR="00BD66D5" w:rsidRDefault="00BD6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3A583BBA" w:rsidR="00562E2B" w:rsidRPr="009B44CC" w:rsidRDefault="00562E2B" w:rsidP="009B44CC">
    <w:pPr>
      <w:pStyle w:val="a5"/>
      <w:tabs>
        <w:tab w:val="left" w:pos="5003"/>
      </w:tabs>
      <w:jc w:val="right"/>
      <w:rPr>
        <w:lang w:val="en-US"/>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Power Sources Copy0&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9xpxwsdsptfqe05piva59vsdx9xrf0pxxw&quot;&gt;My EndNote Library-1 Copy Copy&lt;record-ids&gt;&lt;item&gt;72&lt;/item&gt;&lt;item&gt;125&lt;/item&gt;&lt;item&gt;126&lt;/item&gt;&lt;item&gt;127&lt;/item&gt;&lt;item&gt;128&lt;/item&gt;&lt;item&gt;129&lt;/item&gt;&lt;item&gt;130&lt;/item&gt;&lt;item&gt;131&lt;/item&gt;&lt;item&gt;137&lt;/item&gt;&lt;item&gt;138&lt;/item&gt;&lt;item&gt;145&lt;/item&gt;&lt;item&gt;146&lt;/item&gt;&lt;/record-ids&gt;&lt;/item&gt;&lt;/Libraries&gt;"/>
  </w:docVars>
  <w:rsids>
    <w:rsidRoot w:val="002D16A0"/>
    <w:rsid w:val="000003BB"/>
    <w:rsid w:val="0000374D"/>
    <w:rsid w:val="00004A23"/>
    <w:rsid w:val="00006A0A"/>
    <w:rsid w:val="0000703E"/>
    <w:rsid w:val="00010D1D"/>
    <w:rsid w:val="000112FC"/>
    <w:rsid w:val="000118B0"/>
    <w:rsid w:val="00011F40"/>
    <w:rsid w:val="0001454A"/>
    <w:rsid w:val="0001683C"/>
    <w:rsid w:val="000172E7"/>
    <w:rsid w:val="000214A8"/>
    <w:rsid w:val="00023F64"/>
    <w:rsid w:val="00027FB5"/>
    <w:rsid w:val="000314D2"/>
    <w:rsid w:val="0003318F"/>
    <w:rsid w:val="000345C7"/>
    <w:rsid w:val="0004094E"/>
    <w:rsid w:val="00040B7B"/>
    <w:rsid w:val="00041C1B"/>
    <w:rsid w:val="000437F7"/>
    <w:rsid w:val="00045A66"/>
    <w:rsid w:val="00050985"/>
    <w:rsid w:val="0005501E"/>
    <w:rsid w:val="00055883"/>
    <w:rsid w:val="0006044D"/>
    <w:rsid w:val="00060D37"/>
    <w:rsid w:val="00062324"/>
    <w:rsid w:val="00063C0E"/>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D17"/>
    <w:rsid w:val="001305BF"/>
    <w:rsid w:val="00131D58"/>
    <w:rsid w:val="001370B1"/>
    <w:rsid w:val="001377CA"/>
    <w:rsid w:val="00140B94"/>
    <w:rsid w:val="001421C3"/>
    <w:rsid w:val="001450FB"/>
    <w:rsid w:val="0014658A"/>
    <w:rsid w:val="00147DB8"/>
    <w:rsid w:val="00151683"/>
    <w:rsid w:val="0015392F"/>
    <w:rsid w:val="0015563E"/>
    <w:rsid w:val="00155F66"/>
    <w:rsid w:val="001603D9"/>
    <w:rsid w:val="0016357C"/>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3326C"/>
    <w:rsid w:val="00233C8A"/>
    <w:rsid w:val="00236036"/>
    <w:rsid w:val="0023773D"/>
    <w:rsid w:val="00240D90"/>
    <w:rsid w:val="00253CB1"/>
    <w:rsid w:val="002543F9"/>
    <w:rsid w:val="00256B78"/>
    <w:rsid w:val="00257ADD"/>
    <w:rsid w:val="00263723"/>
    <w:rsid w:val="00263CF8"/>
    <w:rsid w:val="00265635"/>
    <w:rsid w:val="00266389"/>
    <w:rsid w:val="002675F7"/>
    <w:rsid w:val="002725A5"/>
    <w:rsid w:val="0027314F"/>
    <w:rsid w:val="00281F5F"/>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22DE"/>
    <w:rsid w:val="00317A57"/>
    <w:rsid w:val="00320A99"/>
    <w:rsid w:val="0032144B"/>
    <w:rsid w:val="00321E38"/>
    <w:rsid w:val="00322D5B"/>
    <w:rsid w:val="00323233"/>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3421"/>
    <w:rsid w:val="00373E0B"/>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56AB"/>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EAC"/>
    <w:rsid w:val="004507E5"/>
    <w:rsid w:val="004519AD"/>
    <w:rsid w:val="0045459A"/>
    <w:rsid w:val="004545DB"/>
    <w:rsid w:val="0045786A"/>
    <w:rsid w:val="00460F76"/>
    <w:rsid w:val="00462F12"/>
    <w:rsid w:val="00463050"/>
    <w:rsid w:val="0046340F"/>
    <w:rsid w:val="00466168"/>
    <w:rsid w:val="0046778B"/>
    <w:rsid w:val="004714D4"/>
    <w:rsid w:val="00475712"/>
    <w:rsid w:val="00477465"/>
    <w:rsid w:val="00480CCE"/>
    <w:rsid w:val="00482FAA"/>
    <w:rsid w:val="00487211"/>
    <w:rsid w:val="0049075F"/>
    <w:rsid w:val="00492DA8"/>
    <w:rsid w:val="004A0888"/>
    <w:rsid w:val="004A43B6"/>
    <w:rsid w:val="004A70EE"/>
    <w:rsid w:val="004A774E"/>
    <w:rsid w:val="004A7D3E"/>
    <w:rsid w:val="004A7FF9"/>
    <w:rsid w:val="004B379D"/>
    <w:rsid w:val="004B5F0C"/>
    <w:rsid w:val="004B5F1A"/>
    <w:rsid w:val="004B6031"/>
    <w:rsid w:val="004C046E"/>
    <w:rsid w:val="004C1609"/>
    <w:rsid w:val="004C216B"/>
    <w:rsid w:val="004C5DD3"/>
    <w:rsid w:val="004D30F9"/>
    <w:rsid w:val="004D4A32"/>
    <w:rsid w:val="004D64AB"/>
    <w:rsid w:val="004E7CE8"/>
    <w:rsid w:val="004F0A56"/>
    <w:rsid w:val="004F271D"/>
    <w:rsid w:val="004F5114"/>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32960"/>
    <w:rsid w:val="00540F7B"/>
    <w:rsid w:val="00545A73"/>
    <w:rsid w:val="00546DEB"/>
    <w:rsid w:val="00546F0F"/>
    <w:rsid w:val="005477E7"/>
    <w:rsid w:val="00550159"/>
    <w:rsid w:val="00551897"/>
    <w:rsid w:val="00551FFD"/>
    <w:rsid w:val="00552A0F"/>
    <w:rsid w:val="005551ED"/>
    <w:rsid w:val="00555B75"/>
    <w:rsid w:val="00556419"/>
    <w:rsid w:val="005572B4"/>
    <w:rsid w:val="005572DD"/>
    <w:rsid w:val="00560564"/>
    <w:rsid w:val="00562E2B"/>
    <w:rsid w:val="00564668"/>
    <w:rsid w:val="00570353"/>
    <w:rsid w:val="0057156C"/>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D3284"/>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2440"/>
    <w:rsid w:val="00614154"/>
    <w:rsid w:val="00614BD3"/>
    <w:rsid w:val="00617F7F"/>
    <w:rsid w:val="00623A77"/>
    <w:rsid w:val="006256F5"/>
    <w:rsid w:val="0063097B"/>
    <w:rsid w:val="006364B8"/>
    <w:rsid w:val="00636A64"/>
    <w:rsid w:val="00636B93"/>
    <w:rsid w:val="00640550"/>
    <w:rsid w:val="0064326A"/>
    <w:rsid w:val="00644D5D"/>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72462"/>
    <w:rsid w:val="00680453"/>
    <w:rsid w:val="00682526"/>
    <w:rsid w:val="00683555"/>
    <w:rsid w:val="00686F1D"/>
    <w:rsid w:val="00692F7A"/>
    <w:rsid w:val="00695E06"/>
    <w:rsid w:val="00696315"/>
    <w:rsid w:val="006A0D51"/>
    <w:rsid w:val="006A1C05"/>
    <w:rsid w:val="006A225B"/>
    <w:rsid w:val="006A30D2"/>
    <w:rsid w:val="006A5265"/>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6896"/>
    <w:rsid w:val="006F71D8"/>
    <w:rsid w:val="006F7D1A"/>
    <w:rsid w:val="00702F6F"/>
    <w:rsid w:val="0070346C"/>
    <w:rsid w:val="007051A0"/>
    <w:rsid w:val="00706496"/>
    <w:rsid w:val="00707BDE"/>
    <w:rsid w:val="00711A12"/>
    <w:rsid w:val="00711F11"/>
    <w:rsid w:val="007142BF"/>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0E19"/>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4135"/>
    <w:rsid w:val="0079566E"/>
    <w:rsid w:val="00796509"/>
    <w:rsid w:val="0079691E"/>
    <w:rsid w:val="00797723"/>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F6815"/>
    <w:rsid w:val="007F6BA8"/>
    <w:rsid w:val="0080681B"/>
    <w:rsid w:val="0080738C"/>
    <w:rsid w:val="00810B77"/>
    <w:rsid w:val="00812742"/>
    <w:rsid w:val="008145C9"/>
    <w:rsid w:val="00817436"/>
    <w:rsid w:val="00822217"/>
    <w:rsid w:val="008231F7"/>
    <w:rsid w:val="0082542D"/>
    <w:rsid w:val="00827834"/>
    <w:rsid w:val="00832835"/>
    <w:rsid w:val="00835110"/>
    <w:rsid w:val="008351FC"/>
    <w:rsid w:val="00841F50"/>
    <w:rsid w:val="00843A0E"/>
    <w:rsid w:val="00845889"/>
    <w:rsid w:val="00845DFE"/>
    <w:rsid w:val="00846E17"/>
    <w:rsid w:val="0085200A"/>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B"/>
    <w:rsid w:val="00893FED"/>
    <w:rsid w:val="0089449A"/>
    <w:rsid w:val="00895E48"/>
    <w:rsid w:val="00896687"/>
    <w:rsid w:val="008971F4"/>
    <w:rsid w:val="008A0E7D"/>
    <w:rsid w:val="008A3023"/>
    <w:rsid w:val="008A403F"/>
    <w:rsid w:val="008A6815"/>
    <w:rsid w:val="008B1031"/>
    <w:rsid w:val="008B2303"/>
    <w:rsid w:val="008B34A0"/>
    <w:rsid w:val="008B5740"/>
    <w:rsid w:val="008C038F"/>
    <w:rsid w:val="008C0B84"/>
    <w:rsid w:val="008C41DA"/>
    <w:rsid w:val="008C553A"/>
    <w:rsid w:val="008C588E"/>
    <w:rsid w:val="008C6D5F"/>
    <w:rsid w:val="008C7226"/>
    <w:rsid w:val="008D7B80"/>
    <w:rsid w:val="008D7C85"/>
    <w:rsid w:val="008D7F3B"/>
    <w:rsid w:val="008E243B"/>
    <w:rsid w:val="008E4184"/>
    <w:rsid w:val="008E549F"/>
    <w:rsid w:val="008E6301"/>
    <w:rsid w:val="008F10BC"/>
    <w:rsid w:val="008F2052"/>
    <w:rsid w:val="008F26ED"/>
    <w:rsid w:val="008F2735"/>
    <w:rsid w:val="008F2A38"/>
    <w:rsid w:val="008F3012"/>
    <w:rsid w:val="008F592B"/>
    <w:rsid w:val="008F5E40"/>
    <w:rsid w:val="00901D14"/>
    <w:rsid w:val="00903775"/>
    <w:rsid w:val="009106F5"/>
    <w:rsid w:val="009109F7"/>
    <w:rsid w:val="00912137"/>
    <w:rsid w:val="00915BED"/>
    <w:rsid w:val="00916B64"/>
    <w:rsid w:val="009173B8"/>
    <w:rsid w:val="0092145D"/>
    <w:rsid w:val="009245DE"/>
    <w:rsid w:val="00930762"/>
    <w:rsid w:val="00930C0C"/>
    <w:rsid w:val="009336E0"/>
    <w:rsid w:val="00936B81"/>
    <w:rsid w:val="0094076B"/>
    <w:rsid w:val="00944701"/>
    <w:rsid w:val="00946A5E"/>
    <w:rsid w:val="00950ED1"/>
    <w:rsid w:val="00952A7A"/>
    <w:rsid w:val="00953A02"/>
    <w:rsid w:val="0095444E"/>
    <w:rsid w:val="00955C67"/>
    <w:rsid w:val="00957B65"/>
    <w:rsid w:val="00960AFF"/>
    <w:rsid w:val="00963F62"/>
    <w:rsid w:val="00965EFC"/>
    <w:rsid w:val="0097161B"/>
    <w:rsid w:val="009762D2"/>
    <w:rsid w:val="009762F1"/>
    <w:rsid w:val="0097692D"/>
    <w:rsid w:val="00976A39"/>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3BA3"/>
    <w:rsid w:val="009B4270"/>
    <w:rsid w:val="009B44CC"/>
    <w:rsid w:val="009B5651"/>
    <w:rsid w:val="009B62E4"/>
    <w:rsid w:val="009B706A"/>
    <w:rsid w:val="009C4319"/>
    <w:rsid w:val="009D109E"/>
    <w:rsid w:val="009D1CD9"/>
    <w:rsid w:val="009D1F28"/>
    <w:rsid w:val="009D28E5"/>
    <w:rsid w:val="009D4830"/>
    <w:rsid w:val="009D520D"/>
    <w:rsid w:val="009D78F0"/>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3786"/>
    <w:rsid w:val="00A56CA4"/>
    <w:rsid w:val="00A633BC"/>
    <w:rsid w:val="00A65F04"/>
    <w:rsid w:val="00A65F2E"/>
    <w:rsid w:val="00A7086D"/>
    <w:rsid w:val="00A71AD5"/>
    <w:rsid w:val="00A8073E"/>
    <w:rsid w:val="00A80883"/>
    <w:rsid w:val="00A81BED"/>
    <w:rsid w:val="00A82FC6"/>
    <w:rsid w:val="00A85A0D"/>
    <w:rsid w:val="00A86ACA"/>
    <w:rsid w:val="00A92270"/>
    <w:rsid w:val="00AA10AE"/>
    <w:rsid w:val="00AA329F"/>
    <w:rsid w:val="00AA7B6A"/>
    <w:rsid w:val="00AB3126"/>
    <w:rsid w:val="00AB593E"/>
    <w:rsid w:val="00AB5D37"/>
    <w:rsid w:val="00AB683F"/>
    <w:rsid w:val="00AC11EA"/>
    <w:rsid w:val="00AC4A2E"/>
    <w:rsid w:val="00AD1885"/>
    <w:rsid w:val="00AD1B1B"/>
    <w:rsid w:val="00AD50BA"/>
    <w:rsid w:val="00AE02E7"/>
    <w:rsid w:val="00AE0F75"/>
    <w:rsid w:val="00AE319E"/>
    <w:rsid w:val="00AE3B2C"/>
    <w:rsid w:val="00AE3B4E"/>
    <w:rsid w:val="00AE676F"/>
    <w:rsid w:val="00AE709C"/>
    <w:rsid w:val="00AE7DD9"/>
    <w:rsid w:val="00AF2B38"/>
    <w:rsid w:val="00AF3310"/>
    <w:rsid w:val="00AF60A4"/>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1A65"/>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72C8"/>
    <w:rsid w:val="00B97AA2"/>
    <w:rsid w:val="00B97B8E"/>
    <w:rsid w:val="00BA00A8"/>
    <w:rsid w:val="00BA0378"/>
    <w:rsid w:val="00BA37A4"/>
    <w:rsid w:val="00BA4FB0"/>
    <w:rsid w:val="00BA6138"/>
    <w:rsid w:val="00BB1930"/>
    <w:rsid w:val="00BB3478"/>
    <w:rsid w:val="00BC2247"/>
    <w:rsid w:val="00BC5572"/>
    <w:rsid w:val="00BD350E"/>
    <w:rsid w:val="00BD497C"/>
    <w:rsid w:val="00BD57EE"/>
    <w:rsid w:val="00BD66D5"/>
    <w:rsid w:val="00BE4E8A"/>
    <w:rsid w:val="00BF0479"/>
    <w:rsid w:val="00BF2A79"/>
    <w:rsid w:val="00BF3525"/>
    <w:rsid w:val="00BF375F"/>
    <w:rsid w:val="00C02372"/>
    <w:rsid w:val="00C044C3"/>
    <w:rsid w:val="00C10453"/>
    <w:rsid w:val="00C12E60"/>
    <w:rsid w:val="00C13BCA"/>
    <w:rsid w:val="00C141B9"/>
    <w:rsid w:val="00C158CF"/>
    <w:rsid w:val="00C16518"/>
    <w:rsid w:val="00C1787D"/>
    <w:rsid w:val="00C17A06"/>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4CAC"/>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3F3B"/>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395B"/>
    <w:rsid w:val="00D17549"/>
    <w:rsid w:val="00D2185F"/>
    <w:rsid w:val="00D24D97"/>
    <w:rsid w:val="00D275F5"/>
    <w:rsid w:val="00D376F1"/>
    <w:rsid w:val="00D43CA8"/>
    <w:rsid w:val="00D4523D"/>
    <w:rsid w:val="00D4593F"/>
    <w:rsid w:val="00D45BD4"/>
    <w:rsid w:val="00D4775B"/>
    <w:rsid w:val="00D47AB8"/>
    <w:rsid w:val="00D55231"/>
    <w:rsid w:val="00D55D94"/>
    <w:rsid w:val="00D56566"/>
    <w:rsid w:val="00D647A4"/>
    <w:rsid w:val="00D6487A"/>
    <w:rsid w:val="00D648BB"/>
    <w:rsid w:val="00D64E04"/>
    <w:rsid w:val="00D65A5E"/>
    <w:rsid w:val="00D669D1"/>
    <w:rsid w:val="00D7049A"/>
    <w:rsid w:val="00D704F6"/>
    <w:rsid w:val="00D722B1"/>
    <w:rsid w:val="00D72DB7"/>
    <w:rsid w:val="00D74A82"/>
    <w:rsid w:val="00D753F6"/>
    <w:rsid w:val="00D7737D"/>
    <w:rsid w:val="00D80897"/>
    <w:rsid w:val="00D81375"/>
    <w:rsid w:val="00D839B3"/>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5C2"/>
    <w:rsid w:val="00E01E4B"/>
    <w:rsid w:val="00E062B0"/>
    <w:rsid w:val="00E0711E"/>
    <w:rsid w:val="00E0770C"/>
    <w:rsid w:val="00E14DFA"/>
    <w:rsid w:val="00E17EA5"/>
    <w:rsid w:val="00E229DB"/>
    <w:rsid w:val="00E2571A"/>
    <w:rsid w:val="00E26EDC"/>
    <w:rsid w:val="00E2713C"/>
    <w:rsid w:val="00E30B42"/>
    <w:rsid w:val="00E32AB9"/>
    <w:rsid w:val="00E342D7"/>
    <w:rsid w:val="00E34D1F"/>
    <w:rsid w:val="00E34E5D"/>
    <w:rsid w:val="00E35C26"/>
    <w:rsid w:val="00E409EB"/>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3895"/>
    <w:rsid w:val="00EC4E99"/>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0D53"/>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C6858"/>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23326C"/>
    <w:pPr>
      <w:spacing w:beforeLines="100" w:before="240" w:line="360" w:lineRule="auto"/>
      <w:jc w:val="both"/>
    </w:pPr>
    <w:rPr>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paragraph" w:customStyle="1" w:styleId="EndNoteBibliographyTitle">
    <w:name w:val="EndNote Bibliography Title"/>
    <w:basedOn w:val="a"/>
    <w:link w:val="EndNoteBibliographyTitle0"/>
    <w:rsid w:val="00617F7F"/>
    <w:pPr>
      <w:jc w:val="center"/>
    </w:pPr>
    <w:rPr>
      <w:noProof/>
    </w:rPr>
  </w:style>
  <w:style w:type="character" w:customStyle="1" w:styleId="EndNoteBibliographyTitle0">
    <w:name w:val="EndNote Bibliography Title 字符"/>
    <w:basedOn w:val="a0"/>
    <w:link w:val="EndNoteBibliographyTitle"/>
    <w:rsid w:val="00617F7F"/>
    <w:rPr>
      <w:noProof/>
      <w:sz w:val="24"/>
      <w:szCs w:val="24"/>
      <w:lang w:val="de-DE" w:eastAsia="ja-JP"/>
    </w:rPr>
  </w:style>
  <w:style w:type="paragraph" w:customStyle="1" w:styleId="EndNoteBibliography">
    <w:name w:val="EndNote Bibliography"/>
    <w:basedOn w:val="a"/>
    <w:link w:val="EndNoteBibliography0"/>
    <w:rsid w:val="00617F7F"/>
    <w:rPr>
      <w:noProof/>
    </w:rPr>
  </w:style>
  <w:style w:type="character" w:customStyle="1" w:styleId="EndNoteBibliography0">
    <w:name w:val="EndNote Bibliography 字符"/>
    <w:basedOn w:val="a0"/>
    <w:link w:val="EndNoteBibliography"/>
    <w:rsid w:val="00617F7F"/>
    <w:rPr>
      <w:noProof/>
      <w:sz w:val="24"/>
      <w:szCs w:val="24"/>
      <w:lang w:val="de-DE" w:eastAsia="ja-JP"/>
    </w:rPr>
  </w:style>
  <w:style w:type="paragraph" w:customStyle="1" w:styleId="FACorrespondingAuthorFootnote">
    <w:name w:val="FA_Corresponding_Author_Footnote"/>
    <w:basedOn w:val="a"/>
    <w:next w:val="a"/>
    <w:rsid w:val="009B3BA3"/>
    <w:pPr>
      <w:spacing w:after="200" w:line="480" w:lineRule="auto"/>
      <w:jc w:val="both"/>
    </w:pPr>
    <w:rPr>
      <w:rFonts w:ascii="Times" w:eastAsia="宋体" w:hAnsi="Times"/>
      <w:szCs w:val="20"/>
      <w:lang w:val="en-US" w:eastAsia="en-US"/>
    </w:rPr>
  </w:style>
  <w:style w:type="character" w:styleId="ae">
    <w:name w:val="Hyperlink"/>
    <w:rsid w:val="009B3BA3"/>
    <w:rPr>
      <w:color w:val="0000FF"/>
      <w:u w:val="single"/>
    </w:rPr>
  </w:style>
  <w:style w:type="character" w:styleId="af">
    <w:name w:val="Unresolved Mention"/>
    <w:basedOn w:val="a0"/>
    <w:uiPriority w:val="99"/>
    <w:semiHidden/>
    <w:unhideWhenUsed/>
    <w:rsid w:val="00540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tiff"/><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tif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tiff"/><Relationship Id="rId46" Type="http://schemas.openxmlformats.org/officeDocument/2006/relationships/theme" Target="theme/theme1.xml"/><Relationship Id="rId20" Type="http://schemas.openxmlformats.org/officeDocument/2006/relationships/image" Target="media/image11.tiff"/><Relationship Id="rId41" Type="http://schemas.openxmlformats.org/officeDocument/2006/relationships/image" Target="media/image3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4318</Words>
  <Characters>24613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2024-02-10T12:57:00Z</dcterms:created>
  <dcterms:modified xsi:type="dcterms:W3CDTF">2024-04-15T05:10:00Z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d14fccb9cca98a497eec35069d35a34b8896bd48cb1f4a141ea220bcd82ca906</vt:lpwstr>
  </property>
</Properties>
</file>