
<file path=[Content_Types].xml><?xml version="1.0" encoding="utf-8"?>
<Types xmlns="http://schemas.openxmlformats.org/package/2006/content-types">
  <Default Extension="emf" ContentType="image/x-emf"/>
  <Default Extension="png" ContentType="image/png"/>
  <Default Extension="tiff" ContentType="image/tif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F00BE3">
      <w:pPr>
        <w:spacing w:line="360" w:lineRule="auto"/>
        <w:rPr>
          <w:rFonts w:ascii="Times New Roman" w:hAnsi="Times New Roman"/>
          <w:color w:val="000000" w:themeColor="text1"/>
          <w14:textFill>
            <w14:solidFill>
              <w14:schemeClr w14:val="tx1"/>
            </w14:solidFill>
          </w14:textFill>
        </w:rPr>
      </w:pPr>
      <w:r>
        <w:rPr>
          <w:color w:val="000000" w:themeColor="text1"/>
          <w:sz w:val="32"/>
          <w:szCs w:val="32"/>
          <w14:textFill>
            <w14:solidFill>
              <w14:schemeClr w14:val="tx1"/>
            </w14:solidFill>
          </w14:textFill>
        </w:rPr>
        <w:t xml:space="preserve">Supporting Information </w:t>
      </w:r>
    </w:p>
    <w:p w14:paraId="22F00BE4">
      <w:pPr>
        <w:pStyle w:val="15"/>
        <w:rPr>
          <w:rFonts w:eastAsia="宋体"/>
          <w:color w:val="000000" w:themeColor="text1"/>
          <w:lang w:eastAsia="zh-CN"/>
          <w14:textFill>
            <w14:solidFill>
              <w14:schemeClr w14:val="tx1"/>
            </w14:solidFill>
          </w14:textFill>
        </w:rPr>
      </w:pPr>
      <w:r>
        <w:rPr>
          <w:color w:val="000000" w:themeColor="text1"/>
          <w14:textFill>
            <w14:solidFill>
              <w14:schemeClr w14:val="tx1"/>
            </w14:solidFill>
          </w14:textFill>
        </w:rPr>
        <w:t>Ultrafast and Stable Molten Salt</w:t>
      </w:r>
      <w:r>
        <w:rPr>
          <w:rFonts w:hint="eastAsia"/>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t>Aluminum Organic</w:t>
      </w:r>
      <w:r>
        <w:rPr>
          <w:rFonts w:hint="eastAsia"/>
          <w:color w:val="000000" w:themeColor="text1"/>
          <w:lang w:eastAsia="zh-CN"/>
          <w14:textFill>
            <w14:solidFill>
              <w14:schemeClr w14:val="tx1"/>
            </w14:solidFill>
          </w14:textFill>
        </w:rPr>
        <w:t xml:space="preserve"> </w:t>
      </w:r>
      <w:r>
        <w:rPr>
          <w:color w:val="000000" w:themeColor="text1"/>
          <w14:textFill>
            <w14:solidFill>
              <w14:schemeClr w14:val="tx1"/>
            </w14:solidFill>
          </w14:textFill>
        </w:rPr>
        <w:t xml:space="preserve">Batteries </w:t>
      </w:r>
    </w:p>
    <w:p w14:paraId="22F00BE5">
      <w:pPr>
        <w:pStyle w:val="16"/>
        <w:rPr>
          <w:color w:val="000000" w:themeColor="text1"/>
          <w14:textFill>
            <w14:solidFill>
              <w14:schemeClr w14:val="tx1"/>
            </w14:solidFill>
          </w14:textFill>
        </w:rPr>
      </w:pPr>
      <w:r>
        <w:rPr>
          <w:rFonts w:hint="eastAsia" w:eastAsia="宋体"/>
          <w:color w:val="000000" w:themeColor="text1"/>
          <w:lang w:eastAsia="zh-CN"/>
          <w14:textFill>
            <w14:solidFill>
              <w14:schemeClr w14:val="tx1"/>
            </w14:solidFill>
          </w14:textFill>
        </w:rPr>
        <w:t>Kang Ha</w:t>
      </w:r>
      <w:r>
        <w:rPr>
          <w:rFonts w:eastAsia="宋体"/>
          <w:color w:val="000000" w:themeColor="text1"/>
          <w:lang w:eastAsia="zh-CN"/>
          <w14:textFill>
            <w14:solidFill>
              <w14:schemeClr w14:val="tx1"/>
            </w14:solidFill>
          </w14:textFill>
        </w:rPr>
        <w:t xml:space="preserve">n </w:t>
      </w:r>
      <w:r>
        <w:rPr>
          <w:rFonts w:eastAsia="宋体"/>
          <w:color w:val="000000" w:themeColor="text1"/>
          <w:vertAlign w:val="superscript"/>
          <w:lang w:eastAsia="zh-CN"/>
          <w14:textFill>
            <w14:solidFill>
              <w14:schemeClr w14:val="tx1"/>
            </w14:solidFill>
          </w14:textFill>
        </w:rPr>
        <w:t>a</w:t>
      </w:r>
      <w:r>
        <w:rPr>
          <w:rFonts w:hint="eastAsia" w:eastAsia="宋体"/>
          <w:color w:val="000000" w:themeColor="text1"/>
          <w:vertAlign w:val="superscript"/>
          <w:lang w:val="en-US" w:eastAsia="zh-CN"/>
          <w14:textFill>
            <w14:solidFill>
              <w14:schemeClr w14:val="tx1"/>
            </w14:solidFill>
          </w14:textFill>
        </w:rPr>
        <w:t>,d</w:t>
      </w:r>
      <w:r>
        <w:rPr>
          <w:rFonts w:hint="eastAsia" w:eastAsia="宋体"/>
          <w:color w:val="000000" w:themeColor="text1"/>
          <w:lang w:eastAsia="zh-CN"/>
          <w14:textFill>
            <w14:solidFill>
              <w14:schemeClr w14:val="tx1"/>
            </w14:solidFill>
          </w14:textFill>
        </w:rPr>
        <w:t>, Xinying Qiao</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a</w:t>
      </w:r>
      <w:r>
        <w:rPr>
          <w:rFonts w:hint="eastAsia" w:eastAsia="宋体"/>
          <w:color w:val="000000" w:themeColor="text1"/>
          <w:lang w:eastAsia="zh-CN"/>
          <w14:textFill>
            <w14:solidFill>
              <w14:schemeClr w14:val="tx1"/>
            </w14:solidFill>
          </w14:textFill>
        </w:rPr>
        <w:t>, Xuanpeng Wang</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b,d</w:t>
      </w:r>
      <w:r>
        <w:rPr>
          <w:rFonts w:hint="eastAsia" w:eastAsia="宋体"/>
          <w:color w:val="000000" w:themeColor="text1"/>
          <w:lang w:eastAsia="zh-CN"/>
          <w14:textFill>
            <w14:solidFill>
              <w14:schemeClr w14:val="tx1"/>
            </w14:solidFill>
          </w14:textFill>
        </w:rPr>
        <w:t>,</w:t>
      </w:r>
      <w:r>
        <w:rPr>
          <w:rFonts w:eastAsia="宋体"/>
          <w:color w:val="000000" w:themeColor="text1"/>
          <w:lang w:eastAsia="zh-CN"/>
          <w14:textFill>
            <w14:solidFill>
              <w14:schemeClr w14:val="tx1"/>
            </w14:solidFill>
          </w14:textFill>
        </w:rPr>
        <w:t xml:space="preserve"> </w:t>
      </w:r>
      <w:r>
        <w:rPr>
          <w:rFonts w:hint="eastAsia" w:eastAsia="宋体"/>
          <w:color w:val="000000" w:themeColor="text1"/>
          <w:lang w:eastAsia="zh-CN"/>
          <w14:textFill>
            <w14:solidFill>
              <w14:schemeClr w14:val="tx1"/>
            </w14:solidFill>
          </w14:textFill>
        </w:rPr>
        <w:t>Meng Huang</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e</w:t>
      </w:r>
      <w:r>
        <w:rPr>
          <w:rFonts w:hint="eastAsia" w:eastAsia="宋体"/>
          <w:color w:val="000000" w:themeColor="text1"/>
          <w:lang w:eastAsia="zh-CN"/>
          <w14:textFill>
            <w14:solidFill>
              <w14:schemeClr w14:val="tx1"/>
            </w14:solidFill>
          </w14:textFill>
        </w:rPr>
        <w:t>, Zhenhang Zhong</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a</w:t>
      </w:r>
      <w:r>
        <w:rPr>
          <w:rFonts w:hint="eastAsia" w:eastAsia="宋体"/>
          <w:color w:val="000000" w:themeColor="text1"/>
          <w:lang w:eastAsia="zh-CN"/>
          <w14:textFill>
            <w14:solidFill>
              <w14:schemeClr w14:val="tx1"/>
            </w14:solidFill>
          </w14:textFill>
        </w:rPr>
        <w:t>, Qi Zhang</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a</w:t>
      </w:r>
      <w:r>
        <w:rPr>
          <w:rFonts w:hint="eastAsia" w:eastAsia="宋体"/>
          <w:color w:val="000000" w:themeColor="text1"/>
          <w:lang w:eastAsia="zh-CN"/>
          <w14:textFill>
            <w14:solidFill>
              <w14:schemeClr w14:val="tx1"/>
            </w14:solidFill>
          </w14:textFill>
        </w:rPr>
        <w:t>, Chaojiang Niu</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c</w:t>
      </w:r>
      <w:r>
        <w:rPr>
          <w:rFonts w:hint="eastAsia" w:eastAsia="宋体"/>
          <w:color w:val="000000" w:themeColor="text1"/>
          <w:lang w:eastAsia="zh-CN"/>
          <w14:textFill>
            <w14:solidFill>
              <w14:schemeClr w14:val="tx1"/>
            </w14:solidFill>
          </w14:textFill>
        </w:rPr>
        <w:t>, Jiashe</w:t>
      </w:r>
      <w:bookmarkStart w:id="0" w:name="_GoBack"/>
      <w:bookmarkEnd w:id="0"/>
      <w:r>
        <w:rPr>
          <w:rFonts w:hint="eastAsia" w:eastAsia="宋体"/>
          <w:color w:val="000000" w:themeColor="text1"/>
          <w:lang w:eastAsia="zh-CN"/>
          <w14:textFill>
            <w14:solidFill>
              <w14:schemeClr w14:val="tx1"/>
            </w14:solidFill>
          </w14:textFill>
        </w:rPr>
        <w:t>n Meng</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a</w:t>
      </w:r>
      <w:r>
        <w:rPr>
          <w:rFonts w:hint="eastAsia" w:eastAsia="宋体"/>
          <w:color w:val="000000" w:themeColor="text1"/>
          <w:vertAlign w:val="superscript"/>
          <w:lang w:val="en-US" w:eastAsia="zh-CN"/>
          <w14:textFill>
            <w14:solidFill>
              <w14:schemeClr w14:val="tx1"/>
            </w14:solidFill>
          </w14:textFill>
        </w:rPr>
        <w:t>,d</w:t>
      </w:r>
      <w:r>
        <w:rPr>
          <w:rFonts w:eastAsia="宋体"/>
          <w:color w:val="000000" w:themeColor="text1"/>
          <w:vertAlign w:val="superscript"/>
          <w:lang w:eastAsia="zh-CN"/>
          <w14:textFill>
            <w14:solidFill>
              <w14:schemeClr w14:val="tx1"/>
            </w14:solidFill>
          </w14:textFill>
        </w:rPr>
        <w:t>*</w:t>
      </w:r>
      <w:r>
        <w:rPr>
          <w:rFonts w:hint="eastAsia" w:eastAsia="宋体"/>
          <w:color w:val="000000" w:themeColor="text1"/>
          <w:lang w:eastAsia="zh-CN"/>
          <w14:textFill>
            <w14:solidFill>
              <w14:schemeClr w14:val="tx1"/>
            </w14:solidFill>
          </w14:textFill>
        </w:rPr>
        <w:t xml:space="preserve"> and Liqiang Mai</w:t>
      </w:r>
      <w:r>
        <w:rPr>
          <w:rFonts w:eastAsia="宋体"/>
          <w:color w:val="000000" w:themeColor="text1"/>
          <w:lang w:eastAsia="zh-CN"/>
          <w14:textFill>
            <w14:solidFill>
              <w14:schemeClr w14:val="tx1"/>
            </w14:solidFill>
          </w14:textFill>
        </w:rPr>
        <w:t xml:space="preserve"> </w:t>
      </w:r>
      <w:r>
        <w:rPr>
          <w:rFonts w:eastAsia="宋体"/>
          <w:color w:val="000000" w:themeColor="text1"/>
          <w:vertAlign w:val="superscript"/>
          <w:lang w:eastAsia="zh-CN"/>
          <w14:textFill>
            <w14:solidFill>
              <w14:schemeClr w14:val="tx1"/>
            </w14:solidFill>
          </w14:textFill>
        </w:rPr>
        <w:t>a,d *</w:t>
      </w:r>
      <w:r>
        <w:rPr>
          <w:rFonts w:hint="eastAsia" w:eastAsia="宋体"/>
          <w:color w:val="000000" w:themeColor="text1"/>
          <w:lang w:eastAsia="zh-CN"/>
          <w14:textFill>
            <w14:solidFill>
              <w14:schemeClr w14:val="tx1"/>
            </w14:solidFill>
          </w14:textFill>
        </w:rPr>
        <w:t>.</w:t>
      </w:r>
    </w:p>
    <w:p w14:paraId="22F00BE6">
      <w:pPr>
        <w:pStyle w:val="17"/>
        <w:numPr>
          <w:ilvl w:val="0"/>
          <w:numId w:val="1"/>
        </w:numPr>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State Key Laboratory of Advanced Technology for Materials Synthesis and Processing</w:t>
      </w:r>
      <w:r>
        <w:rPr>
          <w:rFonts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School of Materials Science and Engineering</w:t>
      </w:r>
      <w:r>
        <w:rPr>
          <w:rFonts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Wuhan University of Technology</w:t>
      </w:r>
      <w:r>
        <w:rPr>
          <w:rFonts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Wuhan 430070, P.R. China.</w:t>
      </w:r>
    </w:p>
    <w:p w14:paraId="22F00BE7">
      <w:pPr>
        <w:pStyle w:val="17"/>
        <w:numPr>
          <w:ilvl w:val="0"/>
          <w:numId w:val="1"/>
        </w:numPr>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Department of Physical Science &amp; Technology, School of Science, Wuhan University of Technology, Wuhan 430070, China.</w:t>
      </w:r>
    </w:p>
    <w:p w14:paraId="22F00BE8">
      <w:pPr>
        <w:pStyle w:val="17"/>
        <w:numPr>
          <w:ilvl w:val="0"/>
          <w:numId w:val="1"/>
        </w:numPr>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School of Materials Science Engineering, Zhengzhou University, Zhengzhou 450001, P.R. China.</w:t>
      </w:r>
    </w:p>
    <w:p w14:paraId="22F00BE9">
      <w:pPr>
        <w:pStyle w:val="17"/>
        <w:numPr>
          <w:ilvl w:val="0"/>
          <w:numId w:val="1"/>
        </w:numPr>
        <w:jc w:val="both"/>
        <w:rPr>
          <w:rFonts w:ascii="Times New Roman" w:hAnsi="Times New Roman"/>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w:t>Hubei Longzhong Laboratory,Wuhan University of Technology (Xiangyang Demonstration Zone), Xiangyang 441000, Hubei, China</w:t>
      </w:r>
    </w:p>
    <w:p w14:paraId="22F00BEA">
      <w:pPr>
        <w:pStyle w:val="17"/>
        <w:numPr>
          <w:ilvl w:val="0"/>
          <w:numId w:val="1"/>
        </w:numPr>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lang w:eastAsia="zh-CN"/>
          <w14:textFill>
            <w14:solidFill>
              <w14:schemeClr w14:val="tx1"/>
            </w14:solidFill>
          </w14:textFill>
        </w:rPr>
        <w:t>Sanya Science and Education Innovation Park of Wuhan University of Technology, Sanya</w:t>
      </w:r>
      <w:r>
        <w:rPr>
          <w:rFonts w:hint="eastAsia" w:ascii="Times New Roman" w:hAnsi="Times New Roman"/>
          <w:color w:val="000000" w:themeColor="text1"/>
          <w:lang w:eastAsia="zh-CN"/>
          <w14:textFill>
            <w14:solidFill>
              <w14:schemeClr w14:val="tx1"/>
            </w14:solidFill>
          </w14:textFill>
        </w:rPr>
        <w:t xml:space="preserve"> </w:t>
      </w:r>
      <w:r>
        <w:rPr>
          <w:rFonts w:ascii="Times New Roman" w:hAnsi="Times New Roman"/>
          <w:color w:val="000000" w:themeColor="text1"/>
          <w:lang w:eastAsia="zh-CN"/>
          <w14:textFill>
            <w14:solidFill>
              <w14:schemeClr w14:val="tx1"/>
            </w14:solidFill>
          </w14:textFill>
        </w:rPr>
        <w:t>572000, P.R. China.</w:t>
      </w:r>
    </w:p>
    <w:p w14:paraId="33198AE6">
      <w:pPr>
        <w:pStyle w:val="44"/>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Experimental Methods </w:t>
      </w:r>
    </w:p>
    <w:p w14:paraId="22F00BEC">
      <w:pPr>
        <w:spacing w:line="360" w:lineRule="auto"/>
        <w:rPr>
          <w:rStyle w:val="46"/>
          <w:rFonts w:ascii="Times New Roman" w:hAnsi="Times New Roman"/>
          <w:color w:val="000000" w:themeColor="text1"/>
          <w:sz w:val="24"/>
          <w14:textFill>
            <w14:solidFill>
              <w14:schemeClr w14:val="tx1"/>
            </w14:solidFill>
          </w14:textFill>
        </w:rPr>
      </w:pPr>
      <w:r>
        <w:rPr>
          <w:rStyle w:val="46"/>
          <w:rFonts w:ascii="Times New Roman" w:hAnsi="Times New Roman"/>
          <w:b/>
          <w:color w:val="000000" w:themeColor="text1"/>
          <w:sz w:val="24"/>
          <w14:textFill>
            <w14:solidFill>
              <w14:schemeClr w14:val="tx1"/>
            </w14:solidFill>
          </w14:textFill>
        </w:rPr>
        <w:t xml:space="preserve">1.1 Materials and Chemicals: </w:t>
      </w:r>
      <w:r>
        <w:rPr>
          <w:rStyle w:val="46"/>
          <w:rFonts w:ascii="Times New Roman" w:hAnsi="Times New Roman"/>
          <w:color w:val="000000" w:themeColor="text1"/>
          <w:sz w:val="24"/>
          <w14:textFill>
            <w14:solidFill>
              <w14:schemeClr w14:val="tx1"/>
            </w14:solidFill>
          </w14:textFill>
        </w:rPr>
        <w:t>All drugs used in the experiments were obtained commercially without undergoing additional purification. PTCDA was purchased from Shanghai Aladdin Ltd., while AlCl</w:t>
      </w:r>
      <w:r>
        <w:rPr>
          <w:rStyle w:val="46"/>
          <w:rFonts w:ascii="Times New Roman" w:hAnsi="Times New Roman"/>
          <w:color w:val="000000" w:themeColor="text1"/>
          <w:sz w:val="24"/>
          <w:vertAlign w:val="subscript"/>
          <w14:textFill>
            <w14:solidFill>
              <w14:schemeClr w14:val="tx1"/>
            </w14:solidFill>
          </w14:textFill>
        </w:rPr>
        <w:t>3</w:t>
      </w:r>
      <w:r>
        <w:rPr>
          <w:rStyle w:val="46"/>
          <w:rFonts w:ascii="Times New Roman" w:hAnsi="Times New Roman"/>
          <w:color w:val="000000" w:themeColor="text1"/>
          <w:sz w:val="24"/>
          <w14:textFill>
            <w14:solidFill>
              <w14:schemeClr w14:val="tx1"/>
            </w14:solidFill>
          </w14:textFill>
        </w:rPr>
        <w:t>, KCl, and NaCl were procured from Shanghai Maclean Biochemical Co.</w:t>
      </w:r>
    </w:p>
    <w:p w14:paraId="22F00BED">
      <w:pPr>
        <w:spacing w:line="360" w:lineRule="auto"/>
        <w:rPr>
          <w:rStyle w:val="46"/>
          <w:rFonts w:ascii="Times New Roman" w:hAnsi="Times New Roman"/>
          <w:color w:val="000000" w:themeColor="text1"/>
          <w:sz w:val="24"/>
          <w14:textFill>
            <w14:solidFill>
              <w14:schemeClr w14:val="tx1"/>
            </w14:solidFill>
          </w14:textFill>
        </w:rPr>
      </w:pPr>
      <w:r>
        <w:rPr>
          <w:rStyle w:val="46"/>
          <w:rFonts w:ascii="Times New Roman" w:hAnsi="Times New Roman"/>
          <w:b/>
          <w:color w:val="000000" w:themeColor="text1"/>
          <w:sz w:val="24"/>
          <w14:textFill>
            <w14:solidFill>
              <w14:schemeClr w14:val="tx1"/>
            </w14:solidFill>
          </w14:textFill>
        </w:rPr>
        <w:t xml:space="preserve">1.2 Synthesis of </w:t>
      </w:r>
      <w:r>
        <w:rPr>
          <w:rStyle w:val="46"/>
          <w:rFonts w:hint="eastAsia" w:ascii="Times New Roman" w:hAnsi="Times New Roman"/>
          <w:b/>
          <w:color w:val="000000" w:themeColor="text1"/>
          <w:sz w:val="24"/>
          <w14:textFill>
            <w14:solidFill>
              <w14:schemeClr w14:val="tx1"/>
            </w14:solidFill>
          </w14:textFill>
        </w:rPr>
        <w:t>PA</w:t>
      </w:r>
      <w:r>
        <w:rPr>
          <w:rStyle w:val="46"/>
          <w:rFonts w:ascii="Times New Roman" w:hAnsi="Times New Roman"/>
          <w:b/>
          <w:color w:val="000000" w:themeColor="text1"/>
          <w:sz w:val="24"/>
          <w14:textFill>
            <w14:solidFill>
              <w14:schemeClr w14:val="tx1"/>
            </w14:solidFill>
          </w14:textFill>
        </w:rPr>
        <w:t xml:space="preserve">450 </w:t>
      </w:r>
      <w:r>
        <w:rPr>
          <w:rStyle w:val="46"/>
          <w:rFonts w:hint="eastAsia" w:ascii="Times New Roman" w:hAnsi="Times New Roman"/>
          <w:b/>
          <w:color w:val="000000" w:themeColor="text1"/>
          <w:sz w:val="24"/>
          <w14:textFill>
            <w14:solidFill>
              <w14:schemeClr w14:val="tx1"/>
            </w14:solidFill>
          </w14:textFill>
        </w:rPr>
        <w:t>and</w:t>
      </w:r>
      <w:r>
        <w:rPr>
          <w:rStyle w:val="46"/>
          <w:rFonts w:ascii="Times New Roman" w:hAnsi="Times New Roman"/>
          <w:b/>
          <w:color w:val="000000" w:themeColor="text1"/>
          <w:sz w:val="24"/>
          <w14:textFill>
            <w14:solidFill>
              <w14:schemeClr w14:val="tx1"/>
            </w14:solidFill>
          </w14:textFill>
        </w:rPr>
        <w:t xml:space="preserve"> PA650:</w:t>
      </w:r>
      <w:r>
        <w:rPr>
          <w:rStyle w:val="46"/>
          <w:rFonts w:ascii="Times New Roman" w:hAnsi="Times New Roman"/>
          <w:color w:val="000000" w:themeColor="text1"/>
          <w:sz w:val="24"/>
          <w14:textFill>
            <w14:solidFill>
              <w14:schemeClr w14:val="tx1"/>
            </w14:solidFill>
          </w14:textFill>
        </w:rPr>
        <w:t xml:space="preserve"> Organic cathodes were fabricated by subjecting PTCDA to annealing in an inert gas atmosphere (nitrogen or argon) using a tube furnace. The annealing process was conducted at 450 °C for a duration of 3 hours, with a heating rate of 5 °C per minute. PA650 synthesis followed a similar procedure to PA450, with the exception of the annealing temperature, which was set to 650 °C.</w:t>
      </w:r>
    </w:p>
    <w:p w14:paraId="22F00BEF">
      <w:pPr>
        <w:spacing w:line="360" w:lineRule="auto"/>
        <w:rPr>
          <w:rFonts w:ascii="Times New Roman" w:hAnsi="Times New Roman"/>
          <w:color w:val="000000" w:themeColor="text1"/>
          <w14:textFill>
            <w14:solidFill>
              <w14:schemeClr w14:val="tx1"/>
            </w14:solidFill>
          </w14:textFill>
        </w:rPr>
      </w:pPr>
      <w:r>
        <w:rPr>
          <w:rStyle w:val="46"/>
          <w:rFonts w:ascii="Times New Roman" w:hAnsi="Times New Roman"/>
          <w:b/>
          <w:color w:val="000000" w:themeColor="text1"/>
          <w:sz w:val="24"/>
          <w14:textFill>
            <w14:solidFill>
              <w14:schemeClr w14:val="tx1"/>
            </w14:solidFill>
          </w14:textFill>
        </w:rPr>
        <w:t>1.3 Preparation of AlCl</w:t>
      </w:r>
      <w:r>
        <w:rPr>
          <w:rStyle w:val="46"/>
          <w:rFonts w:ascii="Times New Roman" w:hAnsi="Times New Roman"/>
          <w:b/>
          <w:color w:val="000000" w:themeColor="text1"/>
          <w:sz w:val="24"/>
          <w:vertAlign w:val="subscript"/>
          <w14:textFill>
            <w14:solidFill>
              <w14:schemeClr w14:val="tx1"/>
            </w14:solidFill>
          </w14:textFill>
        </w:rPr>
        <w:t>3</w:t>
      </w:r>
      <w:r>
        <w:rPr>
          <w:rStyle w:val="46"/>
          <w:rFonts w:ascii="Times New Roman" w:hAnsi="Times New Roman"/>
          <w:b/>
          <w:color w:val="000000" w:themeColor="text1"/>
          <w:sz w:val="24"/>
          <w14:textFill>
            <w14:solidFill>
              <w14:schemeClr w14:val="tx1"/>
            </w14:solidFill>
          </w14:textFill>
        </w:rPr>
        <w:t>/Molten Salt Electrolyte:</w:t>
      </w:r>
      <w:r>
        <w:rPr>
          <w:rStyle w:val="46"/>
          <w:rFonts w:ascii="Times New Roman" w:hAnsi="Times New Roman"/>
          <w:color w:val="000000" w:themeColor="text1"/>
          <w:sz w:val="24"/>
          <w14:textFill>
            <w14:solidFill>
              <w14:schemeClr w14:val="tx1"/>
            </w14:solidFill>
          </w14:textFill>
        </w:rPr>
        <w:t xml:space="preserve"> The molten salt electrolyte was prepared in a glove box filled with inert gas to ensure an oxygen-free environment. The chosen molten salt was subjected to moderate vacuum drying to remove any residual moisture. To prepare the electrolyte, 8.133 g of AlCl</w:t>
      </w:r>
      <w:r>
        <w:rPr>
          <w:rStyle w:val="46"/>
          <w:rFonts w:ascii="Times New Roman" w:hAnsi="Times New Roman"/>
          <w:color w:val="000000" w:themeColor="text1"/>
          <w:sz w:val="24"/>
          <w:vertAlign w:val="subscript"/>
          <w14:textFill>
            <w14:solidFill>
              <w14:schemeClr w14:val="tx1"/>
            </w14:solidFill>
          </w14:textFill>
        </w:rPr>
        <w:t>3</w:t>
      </w:r>
      <w:r>
        <w:rPr>
          <w:rStyle w:val="46"/>
          <w:rFonts w:ascii="Times New Roman" w:hAnsi="Times New Roman"/>
          <w:color w:val="000000" w:themeColor="text1"/>
          <w:sz w:val="24"/>
          <w14:textFill>
            <w14:solidFill>
              <w14:schemeClr w14:val="tx1"/>
            </w14:solidFill>
          </w14:textFill>
        </w:rPr>
        <w:t>, 1.521 g of NaCl, and 0.970 g of KCl were accurately weighed and transferred into separate weighing flasks. The contents were thoroughly mixed by shaking, and the flasks were then placed in a muffle furnace placed in the glove box. The mixture was heated and melted at 160 °C for a duration of 12 hours. Once the heating process was completed, the weighing flasks were directly taken out to the muffle furnace. The resulting molten liquid was poured into a mortar and left to cool, forming a solid lump. Subsequently, the solid was ground into a fine powder. The final molten salt product was transferred to an aluminum bottle for storage.</w:t>
      </w:r>
    </w:p>
    <w:p w14:paraId="22F00BF1">
      <w:pPr>
        <w:spacing w:line="360" w:lineRule="auto"/>
        <w:rPr>
          <w:rStyle w:val="46"/>
          <w:rFonts w:ascii="Times New Roman" w:hAnsi="Times New Roman"/>
          <w:color w:val="000000" w:themeColor="text1"/>
          <w:sz w:val="24"/>
          <w:lang w:eastAsia="zh-CN"/>
          <w14:textFill>
            <w14:solidFill>
              <w14:schemeClr w14:val="tx1"/>
            </w14:solidFill>
          </w14:textFill>
        </w:rPr>
      </w:pPr>
      <w:r>
        <w:rPr>
          <w:rFonts w:ascii="Times New Roman" w:hAnsi="Times New Roman"/>
          <w:i/>
          <w:color w:val="000000" w:themeColor="text1"/>
          <w14:textFill>
            <w14:solidFill>
              <w14:schemeClr w14:val="tx1"/>
            </w14:solidFill>
          </w14:textFill>
        </w:rPr>
        <w:t>Material Characterizations</w:t>
      </w:r>
      <w:r>
        <w:rPr>
          <w:rFonts w:ascii="Times New Roman" w:hAnsi="Times New Roman" w:eastAsia="宋体"/>
          <w:i/>
          <w:color w:val="000000" w:themeColor="text1"/>
          <w:lang w:eastAsia="zh-CN"/>
          <w14:textFill>
            <w14:solidFill>
              <w14:schemeClr w14:val="tx1"/>
            </w14:solidFill>
          </w14:textFill>
        </w:rPr>
        <w:t>：</w:t>
      </w:r>
      <w:r>
        <w:rPr>
          <w:rStyle w:val="46"/>
          <w:rFonts w:ascii="Times New Roman" w:hAnsi="Times New Roman"/>
          <w:color w:val="000000" w:themeColor="text1"/>
          <w:sz w:val="24"/>
          <w14:textFill>
            <w14:solidFill>
              <w14:schemeClr w14:val="tx1"/>
            </w14:solidFill>
          </w14:textFill>
        </w:rPr>
        <w:t xml:space="preserve">The morphologies of the samples were investigated using field-emission scanning electron microscopy (FESEM; JEOL JSM-7100FA). Elemental analysis was conducted using energy dispersive spectroscopy (EDS). The XRD patterns were obtained using a powder X-ray diffraction system equipped with a D8 Discover X-ray diffractometer, employing Cu Kα radiation (λ=1.5418 Å). Thermal stability was assessed through thermogravimetric analysis (TGA) performed on a Netzsch STA 449C simultaneous analyzer, with heating conducted from room temperature to 800℃ in air at a rate of 10℃ per minute. Raman spectra experiments were carried out using a Horiba Jobin Yvon Lab RAM HR800 Raman spectrometer, with excitation provided by a He-Ne laser operating at 532 nm. For in-situ XRD measurements during electrochemical testing of the battery, a Bruker D8 Discover X-ray diffractometer was employed. </w:t>
      </w:r>
      <w:r>
        <w:rPr>
          <w:rFonts w:ascii="Times New Roman" w:hAnsi="Times New Roman"/>
          <w:color w:val="000000" w:themeColor="text1"/>
          <w14:textFill>
            <w14:solidFill>
              <w14:schemeClr w14:val="tx1"/>
            </w14:solidFill>
          </w14:textFill>
        </w:rPr>
        <w:t xml:space="preserve">X-ray photoelectron spectroscopy (XPS) analysis was performed using a VG Multilab 2000 instrument. </w:t>
      </w:r>
      <w:r>
        <w:rPr>
          <w:rStyle w:val="46"/>
          <w:rFonts w:ascii="Times New Roman" w:hAnsi="Times New Roman"/>
          <w:color w:val="000000" w:themeColor="text1"/>
          <w:sz w:val="24"/>
          <w14:textFill>
            <w14:solidFill>
              <w14:schemeClr w14:val="tx1"/>
            </w14:solidFill>
          </w14:textFill>
        </w:rPr>
        <w:t xml:space="preserve">The setup utilized a non-monochromated Cu Kα X-ray source, with scanning conducted over a 2θ range of 19 – 40°. To enable </w:t>
      </w:r>
      <w:r>
        <w:rPr>
          <w:rStyle w:val="46"/>
          <w:rFonts w:ascii="Times New Roman" w:hAnsi="Times New Roman"/>
          <w:i/>
          <w:iCs/>
          <w:color w:val="000000" w:themeColor="text1"/>
          <w:sz w:val="24"/>
          <w14:textFill>
            <w14:solidFill>
              <w14:schemeClr w14:val="tx1"/>
            </w14:solidFill>
          </w14:textFill>
        </w:rPr>
        <w:t>in-situ</w:t>
      </w:r>
      <w:r>
        <w:rPr>
          <w:rStyle w:val="46"/>
          <w:rFonts w:ascii="Times New Roman" w:hAnsi="Times New Roman"/>
          <w:color w:val="000000" w:themeColor="text1"/>
          <w:sz w:val="24"/>
          <w14:textFill>
            <w14:solidFill>
              <w14:schemeClr w14:val="tx1"/>
            </w14:solidFill>
          </w14:textFill>
        </w:rPr>
        <w:t xml:space="preserve"> XRD measurements, the electrode was positioned behind an X-ray-transparent beryllium window, which also served as a current collector. During charge/discharge processes, in-situ XRD signals were acquired using a planar detector in a still mode, with each pattern taking 120 seconds to capture.</w:t>
      </w:r>
      <w:r>
        <w:rPr>
          <w:rStyle w:val="46"/>
          <w:rFonts w:ascii="Times New Roman" w:hAnsi="Times New Roman"/>
          <w:color w:val="000000" w:themeColor="text1"/>
          <w:sz w:val="24"/>
          <w:lang w:eastAsia="zh-CN"/>
          <w14:textFill>
            <w14:solidFill>
              <w14:schemeClr w14:val="tx1"/>
            </w14:solidFill>
          </w14:textFill>
        </w:rPr>
        <w:t xml:space="preserve"> Depth profiling and analysis were conducted using a Time-of-Flight Secondary Ion Mass Spectrometer (TOF-SIMS, </w:t>
      </w:r>
      <w:r>
        <w:rPr>
          <w:rFonts w:ascii="Times New Roman" w:hAnsi="Times New Roman" w:eastAsia="宋体"/>
          <w:color w:val="000000" w:themeColor="text1"/>
          <w:lang w:eastAsia="zh-CN" w:bidi="ar"/>
          <w14:textFill>
            <w14:solidFill>
              <w14:schemeClr w14:val="tx1"/>
            </w14:solidFill>
          </w14:textFill>
        </w:rPr>
        <w:t>nano TOFIII</w:t>
      </w:r>
      <w:r>
        <w:rPr>
          <w:rStyle w:val="46"/>
          <w:rFonts w:ascii="Times New Roman" w:hAnsi="Times New Roman"/>
          <w:color w:val="000000" w:themeColor="text1"/>
          <w:sz w:val="24"/>
          <w:lang w:eastAsia="zh-CN"/>
          <w14:textFill>
            <w14:solidFill>
              <w14:schemeClr w14:val="tx1"/>
            </w14:solidFill>
          </w14:textFill>
        </w:rPr>
        <w:t>) equipped with a Bi</w:t>
      </w:r>
      <w:r>
        <w:rPr>
          <w:rStyle w:val="46"/>
          <w:rFonts w:ascii="Times New Roman" w:hAnsi="Times New Roman"/>
          <w:color w:val="000000" w:themeColor="text1"/>
          <w:sz w:val="24"/>
          <w:vertAlign w:val="superscript"/>
          <w:lang w:eastAsia="zh-CN"/>
          <w14:textFill>
            <w14:solidFill>
              <w14:schemeClr w14:val="tx1"/>
            </w14:solidFill>
          </w14:textFill>
        </w:rPr>
        <w:t>3+</w:t>
      </w:r>
      <w:r>
        <w:rPr>
          <w:rStyle w:val="46"/>
          <w:rFonts w:ascii="Times New Roman" w:hAnsi="Times New Roman"/>
          <w:color w:val="000000" w:themeColor="text1"/>
          <w:sz w:val="24"/>
          <w:lang w:eastAsia="zh-CN"/>
          <w14:textFill>
            <w14:solidFill>
              <w14:schemeClr w14:val="tx1"/>
            </w14:solidFill>
          </w14:textFill>
        </w:rPr>
        <w:t xml:space="preserve"> primary ion source. The measurements were performed in positive ion mode, and the etching time was consistently maintained at 10 minutes.</w:t>
      </w:r>
    </w:p>
    <w:p w14:paraId="22F00BF2">
      <w:pPr>
        <w:spacing w:line="360" w:lineRule="auto"/>
        <w:rPr>
          <w:rStyle w:val="46"/>
          <w:rFonts w:ascii="Times New Roman" w:hAnsi="Times New Roman"/>
          <w:color w:val="000000" w:themeColor="text1"/>
          <w:sz w:val="24"/>
          <w14:textFill>
            <w14:solidFill>
              <w14:schemeClr w14:val="tx1"/>
            </w14:solidFill>
          </w14:textFill>
        </w:rPr>
      </w:pPr>
      <w:r>
        <w:rPr>
          <w:rFonts w:ascii="Times New Roman" w:hAnsi="Times New Roman"/>
          <w:i/>
          <w:color w:val="000000" w:themeColor="text1"/>
          <w14:textFill>
            <w14:solidFill>
              <w14:schemeClr w14:val="tx1"/>
            </w14:solidFill>
          </w14:textFill>
        </w:rPr>
        <w:t xml:space="preserve"> Electrochemical properties</w:t>
      </w:r>
      <w:r>
        <w:rPr>
          <w:rFonts w:ascii="Times New Roman" w:hAnsi="Times New Roman" w:eastAsia="宋体"/>
          <w:i/>
          <w:color w:val="000000" w:themeColor="text1"/>
          <w:lang w:eastAsia="zh-CN"/>
          <w14:textFill>
            <w14:solidFill>
              <w14:schemeClr w14:val="tx1"/>
            </w14:solidFill>
          </w14:textFill>
        </w:rPr>
        <w:t>：</w:t>
      </w:r>
      <w:r>
        <w:rPr>
          <w:rStyle w:val="46"/>
          <w:rFonts w:ascii="Times New Roman" w:hAnsi="Times New Roman"/>
          <w:color w:val="000000" w:themeColor="text1"/>
          <w:sz w:val="24"/>
          <w14:textFill>
            <w14:solidFill>
              <w14:schemeClr w14:val="tx1"/>
            </w14:solidFill>
          </w14:textFill>
        </w:rPr>
        <w:t>The electrochemical performance was assessed by assembling Swagelok-type cells (with O</w:t>
      </w:r>
      <w:r>
        <w:rPr>
          <w:rStyle w:val="46"/>
          <w:rFonts w:ascii="Times New Roman" w:hAnsi="Times New Roman"/>
          <w:color w:val="000000" w:themeColor="text1"/>
          <w:sz w:val="24"/>
          <w:vertAlign w:val="subscript"/>
          <w14:textFill>
            <w14:solidFill>
              <w14:schemeClr w14:val="tx1"/>
            </w14:solidFill>
          </w14:textFill>
        </w:rPr>
        <w:t>2</w:t>
      </w:r>
      <w:r>
        <w:rPr>
          <w:rStyle w:val="46"/>
          <w:rFonts w:ascii="Times New Roman" w:hAnsi="Times New Roman"/>
          <w:color w:val="000000" w:themeColor="text1"/>
          <w:sz w:val="24"/>
          <w14:textFill>
            <w14:solidFill>
              <w14:schemeClr w14:val="tx1"/>
            </w14:solidFill>
          </w14:textFill>
        </w:rPr>
        <w:t xml:space="preserve"> ≤ 0.01 ppm and H</w:t>
      </w:r>
      <w:r>
        <w:rPr>
          <w:rStyle w:val="46"/>
          <w:rFonts w:ascii="Times New Roman" w:hAnsi="Times New Roman"/>
          <w:color w:val="000000" w:themeColor="text1"/>
          <w:sz w:val="24"/>
          <w:vertAlign w:val="subscript"/>
          <w14:textFill>
            <w14:solidFill>
              <w14:schemeClr w14:val="tx1"/>
            </w14:solidFill>
          </w14:textFill>
        </w:rPr>
        <w:t>2</w:t>
      </w:r>
      <w:r>
        <w:rPr>
          <w:rStyle w:val="46"/>
          <w:rFonts w:ascii="Times New Roman" w:hAnsi="Times New Roman"/>
          <w:color w:val="000000" w:themeColor="text1"/>
          <w:sz w:val="24"/>
          <w14:textFill>
            <w14:solidFill>
              <w14:schemeClr w14:val="tx1"/>
            </w14:solidFill>
          </w14:textFill>
        </w:rPr>
        <w:t>O ≤ 0.01 ppm) within a glove box. Metallic Al (99.99%, Sinopharm Chemical Reagent Co., Ltd.) with a thickness of 200 um was used as the reference electrode. Ternary molten salts based on AlCl</w:t>
      </w:r>
      <w:r>
        <w:rPr>
          <w:rStyle w:val="46"/>
          <w:rFonts w:ascii="Times New Roman" w:hAnsi="Times New Roman"/>
          <w:color w:val="000000" w:themeColor="text1"/>
          <w:sz w:val="24"/>
          <w:vertAlign w:val="subscript"/>
          <w14:textFill>
            <w14:solidFill>
              <w14:schemeClr w14:val="tx1"/>
            </w14:solidFill>
          </w14:textFill>
        </w:rPr>
        <w:t>3</w:t>
      </w:r>
      <w:r>
        <w:rPr>
          <w:rStyle w:val="46"/>
          <w:rFonts w:ascii="Times New Roman" w:hAnsi="Times New Roman"/>
          <w:color w:val="000000" w:themeColor="text1"/>
          <w:sz w:val="24"/>
          <w14:textFill>
            <w14:solidFill>
              <w14:schemeClr w14:val="tx1"/>
            </w14:solidFill>
          </w14:textFill>
        </w:rPr>
        <w:t xml:space="preserve"> served as the electrolytes, and a GF/D microporous membrane with a diameter of 12 mm was employed as the separator. To prepare the organic cathode electrode, 70% of the synthetic active material and 20% of super P were weighed and ground in a mortar and pestle. Subsequently, 10% of PTFE dispersion was added to the material, and the mixture was further diluted and ground until it formed a bonded state. The resulting material was then pressed into a film using a roller press. The pressed film was cut and set aside, followed by drying in a vacuum oven at 70°C overnight. The loading of the active material was maintained at 1.2-2.0 mg cm</w:t>
      </w:r>
      <w:r>
        <w:rPr>
          <w:rStyle w:val="46"/>
          <w:rFonts w:ascii="Times New Roman" w:hAnsi="Times New Roman"/>
          <w:color w:val="000000" w:themeColor="text1"/>
          <w:sz w:val="24"/>
          <w:vertAlign w:val="superscript"/>
          <w14:textFill>
            <w14:solidFill>
              <w14:schemeClr w14:val="tx1"/>
            </w14:solidFill>
          </w14:textFill>
        </w:rPr>
        <w:t>-2</w:t>
      </w:r>
      <w:r>
        <w:rPr>
          <w:rStyle w:val="46"/>
          <w:rFonts w:ascii="Times New Roman" w:hAnsi="Times New Roman"/>
          <w:color w:val="000000" w:themeColor="text1"/>
          <w:sz w:val="24"/>
          <w14:textFill>
            <w14:solidFill>
              <w14:schemeClr w14:val="tx1"/>
            </w14:solidFill>
          </w14:textFill>
        </w:rPr>
        <w:t>. The molten salt cells were subjected to electrostatic charging/ discharging using a multi-channel cell test system (Neware BTS-4008-5V50mA) equipped with a constant temperature oven. The potential range employed was 0.1 to 1.8 V. Cyclic voltammetry (CV) and electrochemical impedance spectroscopy (EIS) measurements were performed at room temperature utilizing an electrochemical workstation (CHI760E and BioLogic EC Lab Electrochemical Workstation ).</w:t>
      </w:r>
    </w:p>
    <w:p w14:paraId="22F00BF3">
      <w:pPr>
        <w:spacing w:line="360" w:lineRule="auto"/>
        <w:rPr>
          <w:rStyle w:val="46"/>
          <w:rFonts w:ascii="Times New Roman" w:hAnsi="Times New Roman"/>
          <w:color w:val="000000" w:themeColor="text1"/>
          <w:sz w:val="24"/>
          <w14:textFill>
            <w14:solidFill>
              <w14:schemeClr w14:val="tx1"/>
            </w14:solidFill>
          </w14:textFill>
        </w:rPr>
      </w:pPr>
      <w:r>
        <w:rPr>
          <w:rFonts w:ascii="Times New Roman" w:hAnsi="Times New Roman"/>
          <w:i/>
          <w:color w:val="000000" w:themeColor="text1"/>
          <w14:textFill>
            <w14:solidFill>
              <w14:schemeClr w14:val="tx1"/>
            </w14:solidFill>
          </w14:textFill>
        </w:rPr>
        <w:t>DFT calculations</w:t>
      </w:r>
      <w:r>
        <w:rPr>
          <w:rFonts w:ascii="Times New Roman" w:hAnsi="Times New Roman"/>
          <w:i/>
          <w:color w:val="000000" w:themeColor="text1"/>
          <w:lang w:eastAsia="zh-CN"/>
          <w14:textFill>
            <w14:solidFill>
              <w14:schemeClr w14:val="tx1"/>
            </w14:solidFill>
          </w14:textFill>
        </w:rPr>
        <w:t>：</w:t>
      </w:r>
      <w:r>
        <w:rPr>
          <w:rStyle w:val="46"/>
          <w:rFonts w:ascii="Times New Roman" w:hAnsi="Times New Roman"/>
          <w:color w:val="000000" w:themeColor="text1"/>
          <w:sz w:val="24"/>
          <w14:textFill>
            <w14:solidFill>
              <w14:schemeClr w14:val="tx1"/>
            </w14:solidFill>
          </w14:textFill>
        </w:rPr>
        <w:t>The investigation focused on the adsorption of the Aluminum ion group onto PDCTA, employing first-principles density-functional theory calculations implemented in the DMol3 module of Materials Studio. The computations incorporated the Perdew-Burke-Ernzerhof (PBE) exchange-functional within the generalized gradient approximation (GGA). We utilized an all-electron double numerical atomic orbital augmented by Double Numerical plus polarization (DNP) as the basis set, with DFT semicore pseudopotentials (DSPPs) accounting for interactions between the ion core and valence electrons.</w:t>
      </w:r>
      <w:r>
        <w:rPr>
          <w:rStyle w:val="46"/>
          <w:rFonts w:hint="eastAsia" w:ascii="Times New Roman" w:hAnsi="Times New Roman"/>
          <w:color w:val="000000" w:themeColor="text1"/>
          <w:sz w:val="24"/>
          <w:lang w:eastAsia="zh-CN"/>
          <w14:textFill>
            <w14:solidFill>
              <w14:schemeClr w14:val="tx1"/>
            </w14:solidFill>
          </w14:textFill>
        </w:rPr>
        <w:t xml:space="preserve"> </w:t>
      </w:r>
      <w:r>
        <w:rPr>
          <w:rStyle w:val="46"/>
          <w:rFonts w:ascii="Times New Roman" w:hAnsi="Times New Roman"/>
          <w:color w:val="000000" w:themeColor="text1"/>
          <w:sz w:val="24"/>
          <w14:textFill>
            <w14:solidFill>
              <w14:schemeClr w14:val="tx1"/>
            </w14:solidFill>
          </w14:textFill>
        </w:rPr>
        <w:t>Convergence criteria were established for the calculations, including a total energy convergence threshold of 10</w:t>
      </w:r>
      <w:r>
        <w:rPr>
          <w:rStyle w:val="46"/>
          <w:rFonts w:ascii="Times New Roman" w:hAnsi="Times New Roman"/>
          <w:color w:val="000000" w:themeColor="text1"/>
          <w:sz w:val="24"/>
          <w:vertAlign w:val="superscript"/>
          <w14:textFill>
            <w14:solidFill>
              <w14:schemeClr w14:val="tx1"/>
            </w14:solidFill>
          </w14:textFill>
        </w:rPr>
        <w:t xml:space="preserve">-5 </w:t>
      </w:r>
      <w:r>
        <w:rPr>
          <w:rStyle w:val="46"/>
          <w:rFonts w:ascii="Times New Roman" w:hAnsi="Times New Roman"/>
          <w:color w:val="000000" w:themeColor="text1"/>
          <w:sz w:val="24"/>
          <w14:textFill>
            <w14:solidFill>
              <w14:schemeClr w14:val="tx1"/>
            </w14:solidFill>
          </w14:textFill>
        </w:rPr>
        <w:t xml:space="preserve">Hartree, a maximum force convergence threshold of 0.002 Hartree/Å, and a maximum displacement convergence threshold of 0.005 Å. The electronic self-consistent field (SCF) tolerance was set at 10-6 Hartree. The calculations encompassed the determination of the orbital, electron density, and electrostatic potential of the system. </w:t>
      </w:r>
    </w:p>
    <w:p w14:paraId="22F00BF4">
      <w:pPr>
        <w:spacing w:line="360" w:lineRule="auto"/>
        <w:jc w:val="center"/>
        <w:rPr>
          <w:rStyle w:val="46"/>
          <w:rFonts w:ascii="Times New Roman" w:hAnsi="Times New Roman"/>
          <w:color w:val="000000" w:themeColor="text1"/>
          <w:sz w:val="24"/>
          <w14:textFill>
            <w14:solidFill>
              <w14:schemeClr w14:val="tx1"/>
            </w14:solidFill>
          </w14:textFill>
        </w:rPr>
      </w:pPr>
      <w:r>
        <w:rPr>
          <w:rStyle w:val="46"/>
          <w:rFonts w:ascii="Times New Roman" w:hAnsi="Times New Roman"/>
          <w:color w:val="000000" w:themeColor="text1"/>
          <w:sz w:val="24"/>
          <w14:textFill>
            <w14:solidFill>
              <w14:schemeClr w14:val="tx1"/>
            </w14:solidFill>
          </w14:textFill>
        </w:rPr>
        <w:t>E</w:t>
      </w:r>
      <w:r>
        <w:rPr>
          <w:rStyle w:val="46"/>
          <w:rFonts w:ascii="Times New Roman" w:hAnsi="Times New Roman"/>
          <w:i/>
          <w:iCs/>
          <w:color w:val="000000" w:themeColor="text1"/>
          <w:sz w:val="24"/>
          <w:vertAlign w:val="subscript"/>
          <w14:textFill>
            <w14:solidFill>
              <w14:schemeClr w14:val="tx1"/>
            </w14:solidFill>
          </w14:textFill>
        </w:rPr>
        <w:t>ads</w:t>
      </w:r>
      <w:r>
        <w:rPr>
          <w:rStyle w:val="46"/>
          <w:rFonts w:ascii="Times New Roman" w:hAnsi="Times New Roman"/>
          <w:color w:val="000000" w:themeColor="text1"/>
          <w:sz w:val="24"/>
          <w14:textFill>
            <w14:solidFill>
              <w14:schemeClr w14:val="tx1"/>
            </w14:solidFill>
          </w14:textFill>
        </w:rPr>
        <w:t xml:space="preserve"> = E</w:t>
      </w:r>
      <w:r>
        <w:rPr>
          <w:rStyle w:val="46"/>
          <w:rFonts w:ascii="Times New Roman" w:hAnsi="Times New Roman"/>
          <w:i/>
          <w:iCs/>
          <w:color w:val="000000" w:themeColor="text1"/>
          <w:sz w:val="24"/>
          <w:vertAlign w:val="subscript"/>
          <w14:textFill>
            <w14:solidFill>
              <w14:schemeClr w14:val="tx1"/>
            </w14:solidFill>
          </w14:textFill>
        </w:rPr>
        <w:t>total</w:t>
      </w:r>
      <w:r>
        <w:rPr>
          <w:rStyle w:val="46"/>
          <w:rFonts w:ascii="Times New Roman" w:hAnsi="Times New Roman"/>
          <w:color w:val="000000" w:themeColor="text1"/>
          <w:sz w:val="24"/>
          <w14:textFill>
            <w14:solidFill>
              <w14:schemeClr w14:val="tx1"/>
            </w14:solidFill>
          </w14:textFill>
        </w:rPr>
        <w:t xml:space="preserve"> – E</w:t>
      </w:r>
      <w:r>
        <w:rPr>
          <w:rStyle w:val="46"/>
          <w:rFonts w:ascii="Times New Roman" w:hAnsi="Times New Roman"/>
          <w:i/>
          <w:iCs/>
          <w:color w:val="000000" w:themeColor="text1"/>
          <w:sz w:val="24"/>
          <w:vertAlign w:val="subscript"/>
          <w14:textFill>
            <w14:solidFill>
              <w14:schemeClr w14:val="tx1"/>
            </w14:solidFill>
          </w14:textFill>
        </w:rPr>
        <w:t>PDCTA</w:t>
      </w:r>
      <w:r>
        <w:rPr>
          <w:rStyle w:val="46"/>
          <w:rFonts w:ascii="Times New Roman" w:hAnsi="Times New Roman"/>
          <w:color w:val="000000" w:themeColor="text1"/>
          <w:sz w:val="24"/>
          <w14:textFill>
            <w14:solidFill>
              <w14:schemeClr w14:val="tx1"/>
            </w14:solidFill>
          </w14:textFill>
        </w:rPr>
        <w:t>- E</w:t>
      </w:r>
      <w:r>
        <w:rPr>
          <w:rStyle w:val="46"/>
          <w:rFonts w:ascii="Times New Roman" w:hAnsi="Times New Roman"/>
          <w:i/>
          <w:iCs/>
          <w:color w:val="000000" w:themeColor="text1"/>
          <w:sz w:val="24"/>
          <w:vertAlign w:val="subscript"/>
          <w14:textFill>
            <w14:solidFill>
              <w14:schemeClr w14:val="tx1"/>
            </w14:solidFill>
          </w14:textFill>
        </w:rPr>
        <w:t>Aluminum ion group</w:t>
      </w:r>
    </w:p>
    <w:p w14:paraId="22F00BF5">
      <w:pPr>
        <w:spacing w:line="360" w:lineRule="auto"/>
        <w:rPr>
          <w:rStyle w:val="46"/>
          <w:rFonts w:ascii="Times New Roman" w:hAnsi="Times New Roman"/>
          <w:color w:val="000000" w:themeColor="text1"/>
          <w:sz w:val="24"/>
          <w:lang w:eastAsia="zh-CN"/>
          <w14:textFill>
            <w14:solidFill>
              <w14:schemeClr w14:val="tx1"/>
            </w14:solidFill>
          </w14:textFill>
        </w:rPr>
      </w:pPr>
      <w:r>
        <w:rPr>
          <w:rStyle w:val="46"/>
          <w:rFonts w:ascii="Times New Roman" w:hAnsi="Times New Roman"/>
          <w:color w:val="000000" w:themeColor="text1"/>
          <w:sz w:val="24"/>
          <w14:textFill>
            <w14:solidFill>
              <w14:schemeClr w14:val="tx1"/>
            </w14:solidFill>
          </w14:textFill>
        </w:rPr>
        <w:t>Here, E</w:t>
      </w:r>
      <w:r>
        <w:rPr>
          <w:rStyle w:val="46"/>
          <w:rFonts w:ascii="Times New Roman" w:hAnsi="Times New Roman"/>
          <w:i/>
          <w:iCs/>
          <w:color w:val="000000" w:themeColor="text1"/>
          <w:sz w:val="24"/>
          <w:vertAlign w:val="subscript"/>
          <w14:textFill>
            <w14:solidFill>
              <w14:schemeClr w14:val="tx1"/>
            </w14:solidFill>
          </w14:textFill>
        </w:rPr>
        <w:t>ads</w:t>
      </w:r>
      <w:r>
        <w:rPr>
          <w:rStyle w:val="46"/>
          <w:rFonts w:ascii="Times New Roman" w:hAnsi="Times New Roman"/>
          <w:color w:val="000000" w:themeColor="text1"/>
          <w:sz w:val="24"/>
          <w14:textFill>
            <w14:solidFill>
              <w14:schemeClr w14:val="tx1"/>
            </w14:solidFill>
          </w14:textFill>
        </w:rPr>
        <w:t xml:space="preserve"> represents the adsorption energy of the aluminum ion cluster on the PDCTA surface. E</w:t>
      </w:r>
      <w:r>
        <w:rPr>
          <w:rStyle w:val="46"/>
          <w:rFonts w:ascii="Times New Roman" w:hAnsi="Times New Roman"/>
          <w:i/>
          <w:iCs/>
          <w:color w:val="000000" w:themeColor="text1"/>
          <w:sz w:val="24"/>
          <w:vertAlign w:val="subscript"/>
          <w14:textFill>
            <w14:solidFill>
              <w14:schemeClr w14:val="tx1"/>
            </w14:solidFill>
          </w14:textFill>
        </w:rPr>
        <w:t>total</w:t>
      </w:r>
      <w:r>
        <w:rPr>
          <w:rStyle w:val="46"/>
          <w:rFonts w:ascii="Times New Roman" w:hAnsi="Times New Roman"/>
          <w:color w:val="000000" w:themeColor="text1"/>
          <w:sz w:val="24"/>
          <w14:textFill>
            <w14:solidFill>
              <w14:schemeClr w14:val="tx1"/>
            </w14:solidFill>
          </w14:textFill>
        </w:rPr>
        <w:t xml:space="preserve"> is the total energy of the aluminum ion cluster and PDCTA together, E</w:t>
      </w:r>
      <w:r>
        <w:rPr>
          <w:rStyle w:val="46"/>
          <w:rFonts w:ascii="Times New Roman" w:hAnsi="Times New Roman"/>
          <w:i/>
          <w:iCs/>
          <w:color w:val="000000" w:themeColor="text1"/>
          <w:sz w:val="24"/>
          <w:vertAlign w:val="subscript"/>
          <w14:textFill>
            <w14:solidFill>
              <w14:schemeClr w14:val="tx1"/>
            </w14:solidFill>
          </w14:textFill>
        </w:rPr>
        <w:t>PDCTA</w:t>
      </w:r>
      <w:r>
        <w:rPr>
          <w:rStyle w:val="46"/>
          <w:rFonts w:ascii="Times New Roman" w:hAnsi="Times New Roman"/>
          <w:color w:val="000000" w:themeColor="text1"/>
          <w:sz w:val="24"/>
          <w14:textFill>
            <w14:solidFill>
              <w14:schemeClr w14:val="tx1"/>
            </w14:solidFill>
          </w14:textFill>
        </w:rPr>
        <w:t xml:space="preserve"> is the energy of PDCTA alone, and E</w:t>
      </w:r>
      <w:r>
        <w:rPr>
          <w:rStyle w:val="46"/>
          <w:rFonts w:ascii="Times New Roman" w:hAnsi="Times New Roman"/>
          <w:i/>
          <w:iCs/>
          <w:color w:val="000000" w:themeColor="text1"/>
          <w:sz w:val="24"/>
          <w:vertAlign w:val="subscript"/>
          <w14:textFill>
            <w14:solidFill>
              <w14:schemeClr w14:val="tx1"/>
            </w14:solidFill>
          </w14:textFill>
        </w:rPr>
        <w:t>Aluminum ion group</w:t>
      </w:r>
      <w:r>
        <w:rPr>
          <w:rStyle w:val="46"/>
          <w:rFonts w:ascii="Times New Roman" w:hAnsi="Times New Roman"/>
          <w:color w:val="000000" w:themeColor="text1"/>
          <w:sz w:val="24"/>
          <w14:textFill>
            <w14:solidFill>
              <w14:schemeClr w14:val="tx1"/>
            </w14:solidFill>
          </w14:textFill>
        </w:rPr>
        <w:t xml:space="preserve"> is the energy of the aluminum ion cluster alone. The adsorption energy provides insights into the stability and strength of the interaction between the aluminum ion cluster and the PDCTA surface.</w:t>
      </w:r>
      <w:r>
        <w:rPr>
          <w:rStyle w:val="46"/>
          <w:rFonts w:ascii="Times New Roman" w:hAnsi="Times New Roman"/>
          <w:color w:val="000000" w:themeColor="text1"/>
          <w:sz w:val="24"/>
          <w:lang w:eastAsia="zh-CN"/>
          <w14:textFill>
            <w14:solidFill>
              <w14:schemeClr w14:val="tx1"/>
            </w14:solidFill>
          </w14:textFill>
        </w:rPr>
        <w:t xml:space="preserve"> The Localized Orbital Locator Integrated Pi Over Plane (LOL-π) and Reduced Density Gradient (RDG) analysis methods based on Multiwfn programs.</w:t>
      </w:r>
    </w:p>
    <w:p w14:paraId="22F00BF6">
      <w:pPr>
        <w:pStyle w:val="45"/>
        <w:spacing w:line="360" w:lineRule="auto"/>
        <w:rPr>
          <w:rFonts w:ascii="Times New Roman" w:hAnsi="Times New Roman"/>
          <w:color w:val="000000" w:themeColor="text1"/>
          <w14:textFill>
            <w14:solidFill>
              <w14:schemeClr w14:val="tx1"/>
            </w14:solidFill>
          </w14:textFill>
        </w:rPr>
      </w:pPr>
    </w:p>
    <w:p w14:paraId="22F00BF7">
      <w:pPr>
        <w:pStyle w:val="45"/>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[CCDC 19699</w:t>
      </w:r>
      <w:r>
        <w:rPr>
          <w:rFonts w:ascii="Times New Roman" w:hAnsi="Times New Roman" w:eastAsia="宋体"/>
          <w:color w:val="000000" w:themeColor="text1"/>
          <w:lang w:eastAsia="zh-CN"/>
          <w14:textFill>
            <w14:solidFill>
              <w14:schemeClr w14:val="tx1"/>
            </w14:solidFill>
          </w14:textFill>
        </w:rPr>
        <w:t xml:space="preserve">6 and </w:t>
      </w:r>
      <w:r>
        <w:rPr>
          <w:rFonts w:ascii="Times New Roman" w:hAnsi="Times New Roman"/>
          <w:color w:val="000000" w:themeColor="text1"/>
          <w14:textFill>
            <w14:solidFill>
              <w14:schemeClr w14:val="tx1"/>
            </w14:solidFill>
          </w14:textFill>
        </w:rPr>
        <w:t>19699</w:t>
      </w:r>
      <w:r>
        <w:rPr>
          <w:rFonts w:ascii="Times New Roman" w:hAnsi="Times New Roman" w:eastAsia="宋体"/>
          <w:color w:val="000000" w:themeColor="text1"/>
          <w:lang w:eastAsia="zh-CN"/>
          <w14:textFill>
            <w14:solidFill>
              <w14:schemeClr w14:val="tx1"/>
            </w14:solidFill>
          </w14:textFill>
        </w:rPr>
        <w:t>7</w:t>
      </w:r>
      <w:r>
        <w:rPr>
          <w:rFonts w:ascii="Times New Roman" w:hAnsi="Times New Roman"/>
          <w:color w:val="000000" w:themeColor="text1"/>
          <w14:textFill>
            <w14:solidFill>
              <w14:schemeClr w14:val="tx1"/>
            </w14:solidFill>
          </w14:textFill>
        </w:rPr>
        <w:t xml:space="preserve"> contains the supplementary crystallographic data for this paper. These data can be obtained free of charge from The Cambridge Crystallographic Data Centre via </w:t>
      </w:r>
      <w:r>
        <w:fldChar w:fldCharType="begin"/>
      </w:r>
      <w:r>
        <w:instrText xml:space="preserve"> HYPERLINK "http://www.ccdc.cam.ac.uk/data_request/cif.%5d" </w:instrText>
      </w:r>
      <w:r>
        <w:fldChar w:fldCharType="separate"/>
      </w:r>
      <w:r>
        <w:rPr>
          <w:rStyle w:val="13"/>
          <w:rFonts w:ascii="Times New Roman" w:hAnsi="Times New Roman"/>
          <w:color w:val="000000" w:themeColor="text1"/>
          <w14:textFill>
            <w14:solidFill>
              <w14:schemeClr w14:val="tx1"/>
            </w14:solidFill>
          </w14:textFill>
        </w:rPr>
        <w:t>www.ccdc.cam.ac.uk/data_request/cif.]</w:t>
      </w:r>
      <w:r>
        <w:rPr>
          <w:rStyle w:val="13"/>
          <w:rFonts w:ascii="Times New Roman" w:hAnsi="Times New Roman"/>
          <w:color w:val="000000" w:themeColor="text1"/>
          <w14:textFill>
            <w14:solidFill>
              <w14:schemeClr w14:val="tx1"/>
            </w14:solidFill>
          </w14:textFill>
        </w:rPr>
        <w:fldChar w:fldCharType="end"/>
      </w:r>
    </w:p>
    <w:p w14:paraId="22F00BF8">
      <w:pPr>
        <w:rPr>
          <w:color w:val="000000" w:themeColor="text1"/>
          <w14:textFill>
            <w14:solidFill>
              <w14:schemeClr w14:val="tx1"/>
            </w14:solidFill>
          </w14:textFill>
        </w:rPr>
      </w:pPr>
    </w:p>
    <w:p w14:paraId="2D6544DF">
      <w:pPr>
        <w:keepNext/>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121150" cy="301244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pic:cNvPicPr>
                  </pic:nvPicPr>
                  <pic:blipFill>
                    <a:blip r:embed="rId7"/>
                    <a:stretch>
                      <a:fillRect/>
                    </a:stretch>
                  </pic:blipFill>
                  <pic:spPr>
                    <a:xfrm>
                      <a:off x="0" y="0"/>
                      <a:ext cx="4121150" cy="3012440"/>
                    </a:xfrm>
                    <a:prstGeom prst="rect">
                      <a:avLst/>
                    </a:prstGeom>
                    <a:noFill/>
                    <a:ln>
                      <a:noFill/>
                    </a:ln>
                  </pic:spPr>
                </pic:pic>
              </a:graphicData>
            </a:graphic>
          </wp:inline>
        </w:drawing>
      </w:r>
    </w:p>
    <w:p w14:paraId="22F00BFB">
      <w:pPr>
        <w:jc w:val="center"/>
        <w:rPr>
          <w:color w:val="000000" w:themeColor="text1"/>
          <w14:textFill>
            <w14:solidFill>
              <w14:schemeClr w14:val="tx1"/>
            </w14:solidFill>
          </w14:textFill>
        </w:rPr>
      </w:pPr>
      <w:r>
        <w:rPr>
          <w:color w:val="000000" w:themeColor="text1"/>
          <w14:textFill>
            <w14:solidFill>
              <w14:schemeClr w14:val="tx1"/>
            </w14:solidFill>
          </w14:textFill>
        </w:rPr>
        <w:t>Figure S</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Figure_S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Thermal weight loss and DSC curve</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of PTCDA</w:t>
      </w:r>
    </w:p>
    <w:p w14:paraId="35B1761A">
      <w:pPr>
        <w:jc w:val="center"/>
        <w:rPr>
          <w:color w:val="000000" w:themeColor="text1"/>
          <w14:textFill>
            <w14:solidFill>
              <w14:schemeClr w14:val="tx1"/>
            </w14:solidFill>
          </w14:textFill>
        </w:rPr>
      </w:pPr>
    </w:p>
    <w:p w14:paraId="4C1F05D9">
      <w:pPr>
        <w:keepNext/>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56910" cy="144399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51245" cy="1467885"/>
                    </a:xfrm>
                    <a:prstGeom prst="rect">
                      <a:avLst/>
                    </a:prstGeom>
                    <a:noFill/>
                  </pic:spPr>
                </pic:pic>
              </a:graphicData>
            </a:graphic>
          </wp:inline>
        </w:drawing>
      </w:r>
    </w:p>
    <w:p w14:paraId="22F00BFE">
      <w:pPr>
        <w:spacing w:before="120" w:beforeLines="50" w:after="120" w:after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Figure S</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SEQ Figure_S \* ARABIC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SEM images of PA, PA450 and PA650 samples.</w:t>
      </w:r>
    </w:p>
    <w:p w14:paraId="22F00BFF">
      <w:pPr>
        <w:jc w:val="center"/>
        <w:rPr>
          <w:color w:val="000000" w:themeColor="text1"/>
          <w14:textFill>
            <w14:solidFill>
              <w14:schemeClr w14:val="tx1"/>
            </w14:solidFill>
          </w14:textFill>
        </w:rPr>
      </w:pPr>
    </w:p>
    <w:p w14:paraId="22F00C00">
      <w:pPr>
        <w:jc w:val="center"/>
        <w:rPr>
          <w:color w:val="000000" w:themeColor="text1"/>
          <w14:textFill>
            <w14:solidFill>
              <w14:schemeClr w14:val="tx1"/>
            </w14:solidFill>
          </w14:textFill>
        </w:rPr>
      </w:pPr>
    </w:p>
    <w:p w14:paraId="22F00C01">
      <w:pPr>
        <w:jc w:val="center"/>
        <w:rPr>
          <w:color w:val="000000" w:themeColor="text1"/>
          <w14:textFill>
            <w14:solidFill>
              <w14:schemeClr w14:val="tx1"/>
            </w14:solidFill>
          </w14:textFill>
        </w:rPr>
      </w:pPr>
    </w:p>
    <w:p w14:paraId="22F00C02">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668010" cy="3187700"/>
            <wp:effectExtent l="0" t="0" r="1270" b="12700"/>
            <wp:docPr id="4" name="Picture 2" descr="PA-AlBs组图-2023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A-AlBs组图-20230930"/>
                    <pic:cNvPicPr>
                      <a:picLocks noChangeAspect="1"/>
                    </pic:cNvPicPr>
                  </pic:nvPicPr>
                  <pic:blipFill>
                    <a:blip r:embed="rId9"/>
                    <a:stretch>
                      <a:fillRect/>
                    </a:stretch>
                  </pic:blipFill>
                  <pic:spPr>
                    <a:xfrm>
                      <a:off x="0" y="0"/>
                      <a:ext cx="5668010" cy="3187700"/>
                    </a:xfrm>
                    <a:prstGeom prst="rect">
                      <a:avLst/>
                    </a:prstGeom>
                  </pic:spPr>
                </pic:pic>
              </a:graphicData>
            </a:graphic>
          </wp:inline>
        </w:drawing>
      </w:r>
    </w:p>
    <w:p w14:paraId="22F00C03">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igure S</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Schematic structure of the crystal units corresponding to the two different crystal phases of PTCDA with different viewing angles; a-c) </w:t>
      </w:r>
      <w:r>
        <w:rPr>
          <w:color w:val="000000" w:themeColor="text1"/>
          <w14:textFill>
            <w14:solidFill>
              <w14:schemeClr w14:val="tx1"/>
            </w14:solidFill>
          </w14:textFill>
        </w:rPr>
        <w:t>α-phase</w:t>
      </w:r>
      <w:r>
        <w:rPr>
          <w:rFonts w:hint="eastAsia"/>
          <w:color w:val="000000" w:themeColor="text1"/>
          <w14:textFill>
            <w14:solidFill>
              <w14:schemeClr w14:val="tx1"/>
            </w14:solidFill>
          </w14:textFill>
        </w:rPr>
        <w:t xml:space="preserve"> PA450, d-f) </w:t>
      </w:r>
      <w:r>
        <w:rPr>
          <w:color w:val="000000" w:themeColor="text1"/>
          <w14:textFill>
            <w14:solidFill>
              <w14:schemeClr w14:val="tx1"/>
            </w14:solidFill>
          </w14:textFill>
        </w:rPr>
        <w:t>β-phase</w:t>
      </w:r>
      <w:r>
        <w:rPr>
          <w:rFonts w:hint="eastAsia"/>
          <w:color w:val="000000" w:themeColor="text1"/>
          <w14:textFill>
            <w14:solidFill>
              <w14:schemeClr w14:val="tx1"/>
            </w14:solidFill>
          </w14:textFill>
        </w:rPr>
        <w:t xml:space="preserve"> PA</w:t>
      </w:r>
    </w:p>
    <w:p w14:paraId="22F00C04">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44185" cy="2242820"/>
            <wp:effectExtent l="0" t="0" r="0" b="1270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a:picLocks noChangeAspect="1"/>
                    </pic:cNvPicPr>
                  </pic:nvPicPr>
                  <pic:blipFill>
                    <a:blip r:embed="rId10"/>
                    <a:stretch>
                      <a:fillRect/>
                    </a:stretch>
                  </pic:blipFill>
                  <pic:spPr>
                    <a:xfrm>
                      <a:off x="0" y="0"/>
                      <a:ext cx="5544185" cy="2242820"/>
                    </a:xfrm>
                    <a:prstGeom prst="rect">
                      <a:avLst/>
                    </a:prstGeom>
                    <a:noFill/>
                    <a:ln>
                      <a:noFill/>
                    </a:ln>
                  </pic:spPr>
                </pic:pic>
              </a:graphicData>
            </a:graphic>
          </wp:inline>
        </w:drawing>
      </w:r>
    </w:p>
    <w:p w14:paraId="22F00C05">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 xml:space="preserve">igure S4. </w:t>
      </w:r>
      <w:r>
        <w:rPr>
          <w:rFonts w:hint="eastAsia"/>
          <w:color w:val="000000" w:themeColor="text1"/>
          <w14:textFill>
            <w14:solidFill>
              <w14:schemeClr w14:val="tx1"/>
            </w14:solidFill>
          </w14:textFill>
        </w:rPr>
        <w:t xml:space="preserve">Optical photographs </w:t>
      </w:r>
      <w:r>
        <w:rPr>
          <w:color w:val="000000" w:themeColor="text1"/>
          <w14:textFill>
            <w14:solidFill>
              <w14:schemeClr w14:val="tx1"/>
            </w14:solidFill>
          </w14:textFill>
        </w:rPr>
        <w:t>of PA, PA450 and PA650 samples</w:t>
      </w:r>
      <w:r>
        <w:rPr>
          <w:rFonts w:hint="eastAsia"/>
          <w:color w:val="000000" w:themeColor="text1"/>
          <w14:textFill>
            <w14:solidFill>
              <w14:schemeClr w14:val="tx1"/>
            </w14:solidFill>
          </w14:textFill>
        </w:rPr>
        <w:t xml:space="preserve"> after heat treatment at different temperatures.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r>
        <w:rPr>
          <w:color w:val="000000" w:themeColor="text1"/>
          <w14:textFill>
            <w14:solidFill>
              <w14:schemeClr w14:val="tx1"/>
            </w14:solidFill>
          </w14:textFill>
        </w:rPr>
        <w:t xml:space="preserve"> Commercial PTCDA Powder,</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b) PA450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c) PA650.</w:t>
      </w:r>
    </w:p>
    <w:p w14:paraId="22F00C06">
      <w:pPr>
        <w:spacing w:before="120" w:beforeLines="50" w:after="120" w:afterLines="50" w:line="360" w:lineRule="auto"/>
        <w:jc w:val="center"/>
        <w:rPr>
          <w:color w:val="000000" w:themeColor="text1"/>
          <w14:textFill>
            <w14:solidFill>
              <w14:schemeClr w14:val="tx1"/>
            </w14:solidFill>
          </w14:textFill>
        </w:rPr>
      </w:pPr>
    </w:p>
    <w:p w14:paraId="22F00C07">
      <w:pPr>
        <w:jc w:val="center"/>
        <w:rPr>
          <w:color w:val="000000" w:themeColor="text1"/>
          <w14:textFill>
            <w14:solidFill>
              <w14:schemeClr w14:val="tx1"/>
            </w14:solidFill>
          </w14:textFill>
        </w:rPr>
      </w:pPr>
    </w:p>
    <w:p w14:paraId="22F00C08">
      <w:pPr>
        <w:ind w:firstLine="198"/>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2221230"/>
            <wp:effectExtent l="0" t="0" r="0" b="381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1"/>
                    <a:stretch>
                      <a:fillRect/>
                    </a:stretch>
                  </pic:blipFill>
                  <pic:spPr>
                    <a:xfrm>
                      <a:off x="0" y="0"/>
                      <a:ext cx="5270500" cy="2221230"/>
                    </a:xfrm>
                    <a:prstGeom prst="rect">
                      <a:avLst/>
                    </a:prstGeom>
                    <a:noFill/>
                    <a:ln>
                      <a:noFill/>
                    </a:ln>
                  </pic:spPr>
                </pic:pic>
              </a:graphicData>
            </a:graphic>
          </wp:inline>
        </w:drawing>
      </w:r>
    </w:p>
    <w:p w14:paraId="22F00C09">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igure S</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Comparison of electrical conductivity and electrochemical impedance </w:t>
      </w:r>
      <w:r>
        <w:rPr>
          <w:color w:val="000000" w:themeColor="text1"/>
          <w14:textFill>
            <w14:solidFill>
              <w14:schemeClr w14:val="tx1"/>
            </w14:solidFill>
          </w14:textFill>
        </w:rPr>
        <w:t>of PA, PA450 and PA650 samples.</w:t>
      </w:r>
      <w:r>
        <w:rPr>
          <w:rFonts w:hint="eastAsia"/>
          <w:color w:val="000000" w:themeColor="text1"/>
          <w14:textFill>
            <w14:solidFill>
              <w14:schemeClr w14:val="tx1"/>
            </w14:solidFill>
          </w14:textFill>
        </w:rPr>
        <w:t xml:space="preserve"> a). </w:t>
      </w:r>
      <w:r>
        <w:rPr>
          <w:color w:val="000000" w:themeColor="text1"/>
          <w14:textFill>
            <w14:solidFill>
              <w14:schemeClr w14:val="tx1"/>
            </w14:solidFill>
          </w14:textFill>
        </w:rPr>
        <w:t>I-V test</w:t>
      </w:r>
      <w:r>
        <w:rPr>
          <w:rFonts w:hint="eastAsia"/>
          <w:color w:val="000000" w:themeColor="text1"/>
          <w14:textFill>
            <w14:solidFill>
              <w14:schemeClr w14:val="tx1"/>
            </w14:solidFill>
          </w14:textFill>
        </w:rPr>
        <w:t>; b) EIS</w:t>
      </w:r>
      <w:r>
        <w:rPr>
          <w:color w:val="000000" w:themeColor="text1"/>
          <w14:textFill>
            <w14:solidFill>
              <w14:schemeClr w14:val="tx1"/>
            </w14:solidFill>
          </w14:textFill>
        </w:rPr>
        <w:t xml:space="preserve"> test</w:t>
      </w:r>
      <w:r>
        <w:rPr>
          <w:rFonts w:hint="eastAsia"/>
          <w:color w:val="000000" w:themeColor="text1"/>
          <w14:textFill>
            <w14:solidFill>
              <w14:schemeClr w14:val="tx1"/>
            </w14:solidFill>
          </w14:textFill>
        </w:rPr>
        <w:t>.</w:t>
      </w:r>
    </w:p>
    <w:p w14:paraId="22F00C0A">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907790" cy="304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3907790" cy="3041650"/>
                    </a:xfrm>
                    <a:prstGeom prst="rect">
                      <a:avLst/>
                    </a:prstGeom>
                    <a:noFill/>
                    <a:ln>
                      <a:noFill/>
                    </a:ln>
                  </pic:spPr>
                </pic:pic>
              </a:graphicData>
            </a:graphic>
          </wp:inline>
        </w:drawing>
      </w:r>
    </w:p>
    <w:p w14:paraId="22F00C0B">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w:t>
      </w:r>
      <w:r>
        <w:rPr>
          <w:color w:val="000000" w:themeColor="text1"/>
          <w14:textFill>
            <w14:solidFill>
              <w14:schemeClr w14:val="tx1"/>
            </w14:solidFill>
          </w14:textFill>
        </w:rPr>
        <w:t>igure S6. Comparative analysis of infrared spectra of PA, PA450 and PA650 samples.</w:t>
      </w:r>
    </w:p>
    <w:p w14:paraId="22F00C0C">
      <w:pPr>
        <w:rPr>
          <w:color w:val="000000" w:themeColor="text1"/>
          <w14:textFill>
            <w14:solidFill>
              <w14:schemeClr w14:val="tx1"/>
            </w14:solidFill>
          </w14:textFill>
        </w:rPr>
      </w:pPr>
    </w:p>
    <w:p w14:paraId="22F00C0D">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161915" cy="325310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183221" cy="3266899"/>
                    </a:xfrm>
                    <a:prstGeom prst="rect">
                      <a:avLst/>
                    </a:prstGeom>
                    <a:noFill/>
                  </pic:spPr>
                </pic:pic>
              </a:graphicData>
            </a:graphic>
          </wp:inline>
        </w:drawing>
      </w:r>
    </w:p>
    <w:p w14:paraId="22F00C12">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w:t>
      </w:r>
      <w:r>
        <w:rPr>
          <w:rFonts w:hint="eastAsia"/>
          <w:color w:val="000000" w:themeColor="text1"/>
          <w:lang w:eastAsia="zh-CN"/>
          <w14:textFill>
            <w14:solidFill>
              <w14:schemeClr w14:val="tx1"/>
            </w14:solidFill>
          </w14:textFill>
        </w:rPr>
        <w:t>7</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Comparison of solubility of PA, PA450 and PA650 in different electrolytes.(a) in </w:t>
      </w:r>
      <w:r>
        <w:rPr>
          <w:color w:val="000000" w:themeColor="text1"/>
          <w:szCs w:val="24"/>
          <w14:textFill>
            <w14:solidFill>
              <w14:schemeClr w14:val="tx1"/>
            </w14:solidFill>
          </w14:textFill>
        </w:rPr>
        <w:t>molten salt electrolyte (b) in ionic liquid electrolyte</w:t>
      </w:r>
    </w:p>
    <w:p w14:paraId="22F00C13">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43120" cy="3842385"/>
            <wp:effectExtent l="0" t="0" r="508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7579" cy="3846169"/>
                    </a:xfrm>
                    <a:prstGeom prst="rect">
                      <a:avLst/>
                    </a:prstGeom>
                  </pic:spPr>
                </pic:pic>
              </a:graphicData>
            </a:graphic>
          </wp:inline>
        </w:drawing>
      </w:r>
    </w:p>
    <w:p w14:paraId="4A2A2599">
      <w:pPr>
        <w:spacing w:before="120" w:beforeLines="50" w:after="120" w:afterLines="50" w:line="360"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Figure S</w:t>
      </w:r>
      <w:r>
        <w:rPr>
          <w:color w:val="000000" w:themeColor="text1"/>
          <w:szCs w:val="24"/>
          <w:lang w:eastAsia="zh-CN"/>
          <w14:textFill>
            <w14:solidFill>
              <w14:schemeClr w14:val="tx1"/>
            </w14:solidFill>
          </w14:textFill>
        </w:rPr>
        <w:t>8</w:t>
      </w:r>
      <w:r>
        <w:rPr>
          <w:rFonts w:hint="eastAsia"/>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(a) CV curves of PA450 electrode at different scan rates. (b) The corresponding plots of log(i) versus log(v) (peak current: i, scan rate: v) at the redox peaks. (c) The capacitive contributions of PA450 at different scan rates. (d) Surface capacitance percentage at 10 mV/s.</w:t>
      </w:r>
    </w:p>
    <w:p w14:paraId="22F00C14">
      <w:pPr>
        <w:rPr>
          <w:color w:val="000000" w:themeColor="text1"/>
          <w14:textFill>
            <w14:solidFill>
              <w14:schemeClr w14:val="tx1"/>
            </w14:solidFill>
          </w14:textFill>
        </w:rPr>
      </w:pPr>
    </w:p>
    <w:p w14:paraId="22F00C15">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36035" cy="2698750"/>
            <wp:effectExtent l="0" t="0" r="4445" b="139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5"/>
                    <a:stretch>
                      <a:fillRect/>
                    </a:stretch>
                  </pic:blipFill>
                  <pic:spPr>
                    <a:xfrm>
                      <a:off x="0" y="0"/>
                      <a:ext cx="3836035" cy="2698750"/>
                    </a:xfrm>
                    <a:prstGeom prst="rect">
                      <a:avLst/>
                    </a:prstGeom>
                    <a:noFill/>
                    <a:ln>
                      <a:noFill/>
                    </a:ln>
                  </pic:spPr>
                </pic:pic>
              </a:graphicData>
            </a:graphic>
          </wp:inline>
        </w:drawing>
      </w:r>
    </w:p>
    <w:p w14:paraId="22F00C16">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w:t>
      </w:r>
      <w:r>
        <w:rPr>
          <w:rFonts w:hint="eastAsia"/>
          <w:color w:val="000000" w:themeColor="text1"/>
          <w:lang w:eastAsia="zh-CN"/>
          <w14:textFill>
            <w14:solidFill>
              <w14:schemeClr w14:val="tx1"/>
            </w14:solidFill>
          </w14:textFill>
        </w:rPr>
        <w:t>9</w:t>
      </w:r>
      <w:r>
        <w:rPr>
          <w:rFonts w:hint="eastAsia"/>
          <w:color w:val="000000" w:themeColor="text1"/>
          <w14:textFill>
            <w14:solidFill>
              <w14:schemeClr w14:val="tx1"/>
            </w14:solidFill>
          </w14:textFill>
        </w:rPr>
        <w:t>. Energy Density Comparison of PA450 with Ni/MH Batteries, Lithium Ion Batteries, Lithium Primary Batteries, Capacitors Lagoon Chart</w:t>
      </w:r>
    </w:p>
    <w:p w14:paraId="22F00C17">
      <w:pPr>
        <w:jc w:val="center"/>
        <w:rPr>
          <w:color w:val="000000" w:themeColor="text1"/>
          <w14:textFill>
            <w14:solidFill>
              <w14:schemeClr w14:val="tx1"/>
            </w14:solidFill>
          </w14:textFill>
        </w:rPr>
      </w:pPr>
    </w:p>
    <w:p w14:paraId="22F00C18">
      <w:pPr>
        <w:jc w:val="center"/>
        <w:rPr>
          <w:color w:val="000000" w:themeColor="text1"/>
          <w14:textFill>
            <w14:solidFill>
              <w14:schemeClr w14:val="tx1"/>
            </w14:solidFill>
          </w14:textFill>
        </w:rPr>
      </w:pPr>
    </w:p>
    <w:p w14:paraId="22F00C19">
      <w:pPr>
        <w:jc w:val="center"/>
        <w:rPr>
          <w:color w:val="000000" w:themeColor="text1"/>
          <w14:textFill>
            <w14:solidFill>
              <w14:schemeClr w14:val="tx1"/>
            </w14:solidFill>
          </w14:textFill>
        </w:rPr>
      </w:pPr>
    </w:p>
    <w:p w14:paraId="22F00C1A">
      <w:pPr>
        <w:jc w:val="center"/>
        <w:rPr>
          <w:color w:val="000000" w:themeColor="text1"/>
          <w14:textFill>
            <w14:solidFill>
              <w14:schemeClr w14:val="tx1"/>
            </w14:solidFill>
          </w14:textFill>
        </w:rPr>
      </w:pPr>
    </w:p>
    <w:p w14:paraId="22F00C1B">
      <w:pPr>
        <w:jc w:val="center"/>
        <w:rPr>
          <w:color w:val="000000" w:themeColor="text1"/>
          <w14:textFill>
            <w14:solidFill>
              <w14:schemeClr w14:val="tx1"/>
            </w14:solidFill>
          </w14:textFill>
        </w:rPr>
      </w:pPr>
    </w:p>
    <w:p w14:paraId="22F00C1C">
      <w:pPr>
        <w:jc w:val="center"/>
        <w:rPr>
          <w:color w:val="000000" w:themeColor="text1"/>
          <w14:textFill>
            <w14:solidFill>
              <w14:schemeClr w14:val="tx1"/>
            </w14:solidFill>
          </w14:textFill>
        </w:rPr>
      </w:pPr>
    </w:p>
    <w:p w14:paraId="22F00C1D">
      <w:pPr>
        <w:jc w:val="center"/>
        <w:rPr>
          <w:color w:val="000000" w:themeColor="text1"/>
          <w14:textFill>
            <w14:solidFill>
              <w14:schemeClr w14:val="tx1"/>
            </w14:solidFill>
          </w14:textFill>
        </w:rPr>
      </w:pPr>
    </w:p>
    <w:p w14:paraId="22F00C1E">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9865" cy="1976120"/>
            <wp:effectExtent l="0" t="0" r="3175" b="50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6"/>
                    <a:stretch>
                      <a:fillRect/>
                    </a:stretch>
                  </pic:blipFill>
                  <pic:spPr>
                    <a:xfrm>
                      <a:off x="0" y="0"/>
                      <a:ext cx="5269865" cy="1976120"/>
                    </a:xfrm>
                    <a:prstGeom prst="rect">
                      <a:avLst/>
                    </a:prstGeom>
                    <a:noFill/>
                    <a:ln>
                      <a:noFill/>
                    </a:ln>
                  </pic:spPr>
                </pic:pic>
              </a:graphicData>
            </a:graphic>
          </wp:inline>
        </w:drawing>
      </w:r>
    </w:p>
    <w:p w14:paraId="22F00C1F">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rFonts w:hint="eastAsia"/>
          <w:color w:val="000000" w:themeColor="text1"/>
          <w:lang w:eastAsia="zh-CN"/>
          <w14:textFill>
            <w14:solidFill>
              <w14:schemeClr w14:val="tx1"/>
            </w14:solidFill>
          </w14:textFill>
        </w:rPr>
        <w:t>0</w:t>
      </w:r>
      <w:r>
        <w:rPr>
          <w:rFonts w:hint="eastAsia"/>
          <w:color w:val="000000" w:themeColor="text1"/>
          <w14:textFill>
            <w14:solidFill>
              <w14:schemeClr w14:val="tx1"/>
            </w14:solidFill>
          </w14:textFill>
        </w:rPr>
        <w:t>. TOF-SIMS-based 2D distribution of different ions (Al</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 Cl</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 AlCl</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 AlCl</w:t>
      </w:r>
      <w:r>
        <w:rPr>
          <w:color w:val="000000" w:themeColor="text1"/>
          <w:vertAlign w:val="subscript"/>
          <w14:textFill>
            <w14:solidFill>
              <w14:schemeClr w14:val="tx1"/>
            </w14:solidFill>
          </w14:textFill>
        </w:rPr>
        <w:t>2</w:t>
      </w:r>
      <w:r>
        <w:rPr>
          <w:rFonts w:hint="eastAsia"/>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 xml:space="preserve"> ) under different charging and discharging states. a) Discharge to 0.1V, b) Charge to 1.8V.</w:t>
      </w:r>
    </w:p>
    <w:p w14:paraId="6EB5A8B1">
      <w:pPr>
        <w:spacing w:before="120" w:beforeLines="50" w:after="120" w:after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980815" cy="3328670"/>
            <wp:effectExtent l="0" t="0" r="63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80815" cy="3328670"/>
                    </a:xfrm>
                    <a:prstGeom prst="rect">
                      <a:avLst/>
                    </a:prstGeom>
                    <a:noFill/>
                  </pic:spPr>
                </pic:pic>
              </a:graphicData>
            </a:graphic>
          </wp:inline>
        </w:drawing>
      </w:r>
    </w:p>
    <w:p w14:paraId="512CB183">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1</w:t>
      </w:r>
      <w:r>
        <w:rPr>
          <w:rFonts w:hint="eastAsia"/>
          <w:color w:val="000000" w:themeColor="text1"/>
          <w14:textFill>
            <w14:solidFill>
              <w14:schemeClr w14:val="tx1"/>
            </w14:solidFill>
          </w14:textFill>
        </w:rPr>
        <w:t xml:space="preserve">. TOF-SIMS-based </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D distribution of different ions (A</w:t>
      </w:r>
      <w:r>
        <w:rPr>
          <w:color w:val="000000" w:themeColor="text1"/>
          <w14:textFill>
            <w14:solidFill>
              <w14:schemeClr w14:val="tx1"/>
            </w14:solidFill>
          </w14:textFill>
        </w:rPr>
        <w:t>lCl</w:t>
      </w:r>
      <w:r>
        <w:rPr>
          <w:color w:val="000000" w:themeColor="text1"/>
          <w:vertAlign w:val="subscript"/>
          <w14:textFill>
            <w14:solidFill>
              <w14:schemeClr w14:val="tx1"/>
            </w14:solidFill>
          </w14:textFill>
        </w:rPr>
        <w:t>4</w:t>
      </w:r>
      <w:r>
        <w:rPr>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Al</w:t>
      </w:r>
      <w:r>
        <w:rPr>
          <w:color w:val="000000" w:themeColor="text1"/>
          <w:vertAlign w:val="subscript"/>
          <w14:textFill>
            <w14:solidFill>
              <w14:schemeClr w14:val="tx1"/>
            </w14:solidFill>
          </w14:textFill>
        </w:rPr>
        <w:t>2</w:t>
      </w:r>
      <w:r>
        <w:rPr>
          <w:rFonts w:hint="eastAsia"/>
          <w:color w:val="000000" w:themeColor="text1"/>
          <w:lang w:eastAsia="zh-CN"/>
          <w14:textFill>
            <w14:solidFill>
              <w14:schemeClr w14:val="tx1"/>
            </w14:solidFill>
          </w14:textFill>
        </w:rPr>
        <w:t>Cl</w:t>
      </w:r>
      <w:r>
        <w:rPr>
          <w:color w:val="000000" w:themeColor="text1"/>
          <w:vertAlign w:val="subscript"/>
          <w14:textFill>
            <w14:solidFill>
              <w14:schemeClr w14:val="tx1"/>
            </w14:solidFill>
          </w14:textFill>
        </w:rPr>
        <w:t>7</w:t>
      </w:r>
      <w:r>
        <w:rPr>
          <w:color w:val="000000" w:themeColor="text1"/>
          <w:vertAlign w:val="superscript"/>
          <w14:textFill>
            <w14:solidFill>
              <w14:schemeClr w14:val="tx1"/>
            </w14:solidFill>
          </w14:textFill>
        </w:rPr>
        <w:t>+</w:t>
      </w:r>
      <w:r>
        <w:rPr>
          <w:rFonts w:hint="eastAsia"/>
          <w:color w:val="000000" w:themeColor="text1"/>
          <w14:textFill>
            <w14:solidFill>
              <w14:schemeClr w14:val="tx1"/>
            </w14:solidFill>
          </w14:textFill>
        </w:rPr>
        <w:t>) under different charging and discharging states. a) Discharge to 0.1V, b) Charge to 1.8V.</w:t>
      </w:r>
    </w:p>
    <w:p w14:paraId="22F00C20">
      <w:pPr>
        <w:jc w:val="center"/>
        <w:rPr>
          <w:color w:val="000000" w:themeColor="text1"/>
          <w14:textFill>
            <w14:solidFill>
              <w14:schemeClr w14:val="tx1"/>
            </w14:solidFill>
          </w14:textFill>
        </w:rPr>
      </w:pPr>
    </w:p>
    <w:p w14:paraId="22F00C21">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770" cy="2173605"/>
            <wp:effectExtent l="0" t="0" r="1270" b="571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8"/>
                    <a:stretch>
                      <a:fillRect/>
                    </a:stretch>
                  </pic:blipFill>
                  <pic:spPr>
                    <a:xfrm>
                      <a:off x="0" y="0"/>
                      <a:ext cx="5271770" cy="2173605"/>
                    </a:xfrm>
                    <a:prstGeom prst="rect">
                      <a:avLst/>
                    </a:prstGeom>
                    <a:noFill/>
                    <a:ln>
                      <a:noFill/>
                    </a:ln>
                  </pic:spPr>
                </pic:pic>
              </a:graphicData>
            </a:graphic>
          </wp:inline>
        </w:drawing>
      </w:r>
    </w:p>
    <w:p w14:paraId="22F00C22">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2</w:t>
      </w:r>
      <w:r>
        <w:rPr>
          <w:rFonts w:hint="eastAsia"/>
          <w:color w:val="000000" w:themeColor="text1"/>
          <w14:textFill>
            <w14:solidFill>
              <w14:schemeClr w14:val="tx1"/>
            </w14:solidFill>
          </w14:textFill>
        </w:rPr>
        <w:t>. Analysis of the percentage content of three different ions at different depths. a) Discharge to 0.1V, b) Charge to 1.8V.</w:t>
      </w:r>
    </w:p>
    <w:p w14:paraId="22F00C26">
      <w:pPr>
        <w:spacing w:before="120" w:beforeLines="50" w:after="120" w:afterLines="50" w:line="360" w:lineRule="auto"/>
        <w:rPr>
          <w:color w:val="000000" w:themeColor="text1"/>
          <w14:textFill>
            <w14:solidFill>
              <w14:schemeClr w14:val="tx1"/>
            </w14:solidFill>
          </w14:textFill>
        </w:rPr>
      </w:pPr>
    </w:p>
    <w:p w14:paraId="22F00C27">
      <w:pPr>
        <w:rPr>
          <w:color w:val="000000" w:themeColor="text1"/>
          <w14:textFill>
            <w14:solidFill>
              <w14:schemeClr w14:val="tx1"/>
            </w14:solidFill>
          </w14:textFill>
        </w:rPr>
      </w:pPr>
    </w:p>
    <w:p w14:paraId="22F00C28">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50945" cy="2980055"/>
            <wp:effectExtent l="0" t="0" r="13335" b="6985"/>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a:picLocks noChangeAspect="1"/>
                    </pic:cNvPicPr>
                  </pic:nvPicPr>
                  <pic:blipFill>
                    <a:blip r:embed="rId19"/>
                    <a:stretch>
                      <a:fillRect/>
                    </a:stretch>
                  </pic:blipFill>
                  <pic:spPr>
                    <a:xfrm>
                      <a:off x="0" y="0"/>
                      <a:ext cx="3750945" cy="2980055"/>
                    </a:xfrm>
                    <a:prstGeom prst="rect">
                      <a:avLst/>
                    </a:prstGeom>
                    <a:noFill/>
                    <a:ln>
                      <a:noFill/>
                    </a:ln>
                  </pic:spPr>
                </pic:pic>
              </a:graphicData>
            </a:graphic>
          </wp:inline>
        </w:drawing>
      </w:r>
    </w:p>
    <w:p w14:paraId="22F00C29">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3</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One-dimensional evolution of representative potentials by in situ XRD in PA450</w:t>
      </w:r>
    </w:p>
    <w:p w14:paraId="22F00C2A">
      <w:pPr>
        <w:jc w:val="center"/>
        <w:rPr>
          <w:color w:val="000000" w:themeColor="text1"/>
          <w14:textFill>
            <w14:solidFill>
              <w14:schemeClr w14:val="tx1"/>
            </w14:solidFill>
          </w14:textFill>
        </w:rPr>
      </w:pPr>
    </w:p>
    <w:p w14:paraId="22F00C2B">
      <w:pPr>
        <w:jc w:val="center"/>
        <w:rPr>
          <w:color w:val="000000" w:themeColor="text1"/>
          <w14:textFill>
            <w14:solidFill>
              <w14:schemeClr w14:val="tx1"/>
            </w14:solidFill>
          </w14:textFill>
        </w:rPr>
      </w:pPr>
    </w:p>
    <w:p w14:paraId="22F00C2C">
      <w:pPr>
        <w:jc w:val="center"/>
        <w:rPr>
          <w:color w:val="000000" w:themeColor="text1"/>
          <w14:textFill>
            <w14:solidFill>
              <w14:schemeClr w14:val="tx1"/>
            </w14:solidFill>
          </w14:textFill>
        </w:rPr>
      </w:pPr>
    </w:p>
    <w:p w14:paraId="22F00C2D">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50615" cy="2877185"/>
            <wp:effectExtent l="0" t="0" r="698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20876" cy="2932928"/>
                    </a:xfrm>
                    <a:prstGeom prst="rect">
                      <a:avLst/>
                    </a:prstGeom>
                    <a:noFill/>
                  </pic:spPr>
                </pic:pic>
              </a:graphicData>
            </a:graphic>
          </wp:inline>
        </w:drawing>
      </w:r>
    </w:p>
    <w:p w14:paraId="22F00C2E">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Raman mapping information at different potentials during the first cycle of PA450.</w:t>
      </w:r>
    </w:p>
    <w:p w14:paraId="22F00C2F">
      <w:pPr>
        <w:jc w:val="center"/>
        <w:rPr>
          <w:color w:val="000000" w:themeColor="text1"/>
          <w14:textFill>
            <w14:solidFill>
              <w14:schemeClr w14:val="tx1"/>
            </w14:solidFill>
          </w14:textFill>
        </w:rPr>
      </w:pPr>
    </w:p>
    <w:p w14:paraId="22F00C30">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2176145"/>
            <wp:effectExtent l="0" t="0" r="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5273040" cy="2176145"/>
                    </a:xfrm>
                    <a:prstGeom prst="rect">
                      <a:avLst/>
                    </a:prstGeom>
                    <a:noFill/>
                    <a:ln>
                      <a:noFill/>
                    </a:ln>
                  </pic:spPr>
                </pic:pic>
              </a:graphicData>
            </a:graphic>
          </wp:inline>
        </w:drawing>
      </w:r>
    </w:p>
    <w:p w14:paraId="22F00C31">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5</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High-resolution spectrum of Al 2p during the first cycle of PA450 </w:t>
      </w:r>
    </w:p>
    <w:p w14:paraId="22F00C32">
      <w:pPr>
        <w:jc w:val="center"/>
        <w:rPr>
          <w:color w:val="000000" w:themeColor="text1"/>
          <w14:textFill>
            <w14:solidFill>
              <w14:schemeClr w14:val="tx1"/>
            </w14:solidFill>
          </w14:textFill>
        </w:rPr>
      </w:pPr>
      <w:r>
        <w:rPr>
          <w:color w:val="000000" w:themeColor="text1"/>
          <w14:textFill>
            <w14:solidFill>
              <w14:schemeClr w14:val="tx1"/>
            </w14:solidFill>
          </w14:textFill>
        </w:rPr>
        <w:t>charge and discharge in the XPS test</w:t>
      </w:r>
    </w:p>
    <w:p w14:paraId="22F00C33">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056890" cy="2667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7144" cy="2667000"/>
                    </a:xfrm>
                    <a:prstGeom prst="rect">
                      <a:avLst/>
                    </a:prstGeom>
                  </pic:spPr>
                </pic:pic>
              </a:graphicData>
            </a:graphic>
          </wp:inline>
        </w:drawing>
      </w:r>
    </w:p>
    <w:p w14:paraId="5D53987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6</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Raman spectroscopy based on ternary molten salt electrolyte.</w:t>
      </w:r>
    </w:p>
    <w:p w14:paraId="22F00C36">
      <w:pPr>
        <w:spacing w:before="120" w:beforeLines="50" w:after="120" w:afterLines="50" w:line="360" w:lineRule="auto"/>
        <w:rPr>
          <w:color w:val="000000" w:themeColor="text1"/>
          <w14:textFill>
            <w14:solidFill>
              <w14:schemeClr w14:val="tx1"/>
            </w14:solidFill>
          </w14:textFill>
        </w:rPr>
      </w:pPr>
    </w:p>
    <w:p w14:paraId="222F804F">
      <w:pPr>
        <w:keepNext/>
        <w:spacing w:before="120" w:beforeLines="50" w:after="120" w:after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300730" cy="26911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984" cy="2691384"/>
                    </a:xfrm>
                    <a:prstGeom prst="rect">
                      <a:avLst/>
                    </a:prstGeom>
                  </pic:spPr>
                </pic:pic>
              </a:graphicData>
            </a:graphic>
          </wp:inline>
        </w:drawing>
      </w:r>
    </w:p>
    <w:p w14:paraId="5550D137">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Al XPS high-resolution spectra of PA450 at different potentials after 20 cycles.</w:t>
      </w:r>
    </w:p>
    <w:p w14:paraId="197ABDED">
      <w:pPr>
        <w:spacing w:before="120" w:beforeLines="50" w:after="120" w:after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540760" cy="27889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9267" cy="2795543"/>
                    </a:xfrm>
                    <a:prstGeom prst="rect">
                      <a:avLst/>
                    </a:prstGeom>
                  </pic:spPr>
                </pic:pic>
              </a:graphicData>
            </a:graphic>
          </wp:inline>
        </w:drawing>
      </w:r>
    </w:p>
    <w:p w14:paraId="14D4E213">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lang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Structural evolution information of PA450 at different potentials after 20 cycles. (a) Ex-situ infrared spectrum, (b) Ex-Raman spectrum.</w:t>
      </w:r>
    </w:p>
    <w:p w14:paraId="4B7C5952">
      <w:pPr>
        <w:keepNext/>
        <w:spacing w:before="120" w:beforeLines="50" w:after="120" w:afterLines="5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61105" cy="34772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61240" cy="3477775"/>
                    </a:xfrm>
                    <a:prstGeom prst="rect">
                      <a:avLst/>
                    </a:prstGeom>
                  </pic:spPr>
                </pic:pic>
              </a:graphicData>
            </a:graphic>
          </wp:inline>
        </w:drawing>
      </w:r>
    </w:p>
    <w:p w14:paraId="0EBB42BF">
      <w:pPr>
        <w:keepNext/>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S1</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w:t>
      </w:r>
      <w:r>
        <w:t xml:space="preserve"> </w:t>
      </w:r>
      <w:r>
        <w:rPr>
          <w:color w:val="000000" w:themeColor="text1"/>
          <w14:textFill>
            <w14:solidFill>
              <w14:schemeClr w14:val="tx1"/>
            </w14:solidFill>
          </w14:textFill>
        </w:rPr>
        <w:t>TOF-SIMS test of PA450 in fully discharged state after 100 cycles. (a-b) 3D depth distribution, (a) Al+, (b) AlCl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(c-d) 2D intensity distribution, (c) Al+, (d) AlCl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w:t>
      </w:r>
    </w:p>
    <w:p w14:paraId="22F00C38">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20030" cy="2567305"/>
            <wp:effectExtent l="0" t="0" r="1397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pic:cNvPicPr>
                      <a:picLocks noChangeAspect="1"/>
                    </pic:cNvPicPr>
                  </pic:nvPicPr>
                  <pic:blipFill>
                    <a:blip r:embed="rId26"/>
                    <a:stretch>
                      <a:fillRect/>
                    </a:stretch>
                  </pic:blipFill>
                  <pic:spPr>
                    <a:xfrm>
                      <a:off x="0" y="0"/>
                      <a:ext cx="5332807" cy="2573771"/>
                    </a:xfrm>
                    <a:prstGeom prst="rect">
                      <a:avLst/>
                    </a:prstGeom>
                    <a:noFill/>
                    <a:ln>
                      <a:noFill/>
                    </a:ln>
                  </pic:spPr>
                </pic:pic>
              </a:graphicData>
            </a:graphic>
          </wp:inline>
        </w:drawing>
      </w:r>
    </w:p>
    <w:p w14:paraId="22F00C39">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XPS evolution information for PA450 after 20 cycles. (a) High-resolution C 1s spectrum (b) High-resolution O1s spectrum (c) High-resolution Cl 2p spectrum.</w:t>
      </w:r>
    </w:p>
    <w:p w14:paraId="22F00C3A">
      <w:pPr>
        <w:pStyle w:val="45"/>
        <w:spacing w:line="360" w:lineRule="auto"/>
        <w:rPr>
          <w:rFonts w:ascii="Times New Roman" w:hAnsi="Times New Roman"/>
          <w:color w:val="000000" w:themeColor="text1"/>
          <w14:textFill>
            <w14:solidFill>
              <w14:schemeClr w14:val="tx1"/>
            </w14:solidFill>
          </w14:textFill>
        </w:rPr>
      </w:pPr>
    </w:p>
    <w:p w14:paraId="22F00C3B">
      <w:pPr>
        <w:pStyle w:val="45"/>
        <w:spacing w:line="36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5943600" cy="23952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395220"/>
                    </a:xfrm>
                    <a:prstGeom prst="rect">
                      <a:avLst/>
                    </a:prstGeom>
                  </pic:spPr>
                </pic:pic>
              </a:graphicData>
            </a:graphic>
          </wp:inline>
        </w:drawing>
      </w:r>
    </w:p>
    <w:p w14:paraId="06CBFEA7">
      <w:pPr>
        <w:spacing w:before="120" w:beforeLines="50" w:after="120" w:afterLines="50"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Figure S</w:t>
      </w:r>
      <w:r>
        <w:rPr>
          <w:color w:val="000000" w:themeColor="text1"/>
          <w14:textFill>
            <w14:solidFill>
              <w14:schemeClr w14:val="tx1"/>
            </w14:solidFill>
          </w14:textFill>
        </w:rPr>
        <w:t>21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Raman and FTIR spectra of PA450 with different cycles. (a) Comparison of Raman spectra of PA450 at different cycle with the initial state. (b) Comparison of infrared spectra of PA450 at different cycles with the initial state.</w:t>
      </w:r>
    </w:p>
    <w:p w14:paraId="22F00C3C">
      <w:pPr>
        <w:pStyle w:val="20"/>
        <w:rPr>
          <w:rFonts w:ascii="Times New Roman" w:hAnsi="Times New Roman"/>
          <w:color w:val="000000" w:themeColor="text1"/>
          <w:lang w:eastAsia="zh-CN"/>
          <w14:textFill>
            <w14:solidFill>
              <w14:schemeClr w14:val="tx1"/>
            </w14:solidFill>
          </w14:textFill>
        </w:rPr>
      </w:pPr>
    </w:p>
    <w:sectPr>
      <w:footerReference r:id="rId4" w:type="default"/>
      <w:footerReference r:id="rId5" w:type="even"/>
      <w:type w:val="continuous"/>
      <w:pgSz w:w="12240" w:h="15840"/>
      <w:pgMar w:top="1440" w:right="1440" w:bottom="1440" w:left="1440" w:header="0" w:footer="0" w:gutter="0"/>
      <w:cols w:space="47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no Pro">
    <w:altName w:val="Times New Roman"/>
    <w:panose1 w:val="00000000000000000000"/>
    <w:charset w:val="00"/>
    <w:family w:val="roman"/>
    <w:pitch w:val="default"/>
    <w:sig w:usb0="00000000" w:usb1="00000000" w:usb2="00000000" w:usb3="00000000" w:csb0="0000019F" w:csb1="00000000"/>
  </w:font>
  <w:font w:name="AdvOTcb88df00">
    <w:altName w:val="Cambria"/>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00C61">
    <w:pPr>
      <w:pStyle w:val="5"/>
      <w:framePr w:wrap="around" w:vAnchor="text" w:hAnchor="margin" w:xAlign="right" w:y="1"/>
      <w:rPr>
        <w:rStyle w:val="11"/>
      </w:rPr>
    </w:pPr>
    <w:r>
      <w:rPr>
        <w:rStyle w:val="11"/>
      </w:rPr>
      <w:fldChar w:fldCharType="begin"/>
    </w:r>
    <w:r>
      <w:rPr>
        <w:rStyle w:val="11"/>
      </w:rPr>
      <w:instrText xml:space="preserve">PAGE  </w:instrText>
    </w:r>
    <w:r>
      <w:rPr>
        <w:rStyle w:val="11"/>
      </w:rPr>
      <w:fldChar w:fldCharType="separate"/>
    </w:r>
    <w:r>
      <w:rPr>
        <w:rStyle w:val="11"/>
      </w:rPr>
      <w:t>1</w:t>
    </w:r>
    <w:r>
      <w:rPr>
        <w:rStyle w:val="11"/>
      </w:rPr>
      <w:fldChar w:fldCharType="end"/>
    </w:r>
  </w:p>
  <w:p w14:paraId="22F00C62">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00C5F">
    <w:pPr>
      <w:pStyle w:val="5"/>
      <w:framePr w:wrap="around" w:vAnchor="text" w:hAnchor="margin" w:xAlign="right" w:y="1"/>
      <w:rPr>
        <w:rStyle w:val="11"/>
      </w:rPr>
    </w:pPr>
    <w:r>
      <w:rPr>
        <w:rStyle w:val="11"/>
      </w:rPr>
      <w:fldChar w:fldCharType="begin"/>
    </w:r>
    <w:r>
      <w:rPr>
        <w:rStyle w:val="11"/>
      </w:rPr>
      <w:instrText xml:space="preserve">PAGE  </w:instrText>
    </w:r>
    <w:r>
      <w:rPr>
        <w:rStyle w:val="11"/>
      </w:rPr>
      <w:fldChar w:fldCharType="separate"/>
    </w:r>
    <w:r>
      <w:rPr>
        <w:rStyle w:val="11"/>
      </w:rPr>
      <w:t>1</w:t>
    </w:r>
    <w:r>
      <w:rPr>
        <w:rStyle w:val="11"/>
      </w:rPr>
      <w:fldChar w:fldCharType="end"/>
    </w:r>
  </w:p>
  <w:p w14:paraId="22F00C60">
    <w:pPr>
      <w:pStyle w:val="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198D1A"/>
    <w:multiLevelType w:val="singleLevel"/>
    <w:tmpl w:val="07198D1A"/>
    <w:lvl w:ilvl="0" w:tentative="0">
      <w:start w:val="1"/>
      <w:numFmt w:val="lowerLetter"/>
      <w:suff w:val="space"/>
      <w:lvlText w:val="%1."/>
      <w:lvlJc w:val="left"/>
      <w:rPr>
        <w:rFonts w:ascii="Times New Roman" w:hAnsi="Times New Roman" w:cs="Times New Roman" w:eastAsiaTheme="minor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hyphenationZone w:val="0"/>
  <w:doNotHyphenateCaps/>
  <w:drawingGridHorizontalSpacing w:val="0"/>
  <w:drawingGridVerticalSpacing w:val="0"/>
  <w:displayHorizontalDrawingGridEvery w:val="0"/>
  <w:displayVerticalDrawingGridEvery w:val="2"/>
  <w:doNotUseMarginsForDrawingGridOrigin w:val="1"/>
  <w:drawingGridHorizontalOrigin w:val="0"/>
  <w:drawingGridVerticalOrigin w:val="0"/>
  <w:doNotShadeFormData w:val="1"/>
  <w:characterSpacingControl w:val="doNotCompress"/>
  <w:footnotePr>
    <w:footnote w:id="0"/>
    <w:footnote w:id="1"/>
  </w:foot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ZjQ2ZDAyMDJjZTJiMmY3MDM4M2EyMjhjYWNjNjUifQ=="/>
  </w:docVars>
  <w:rsids>
    <w:rsidRoot w:val="15BE69AC"/>
    <w:rsid w:val="000002F2"/>
    <w:rsid w:val="00023852"/>
    <w:rsid w:val="00043543"/>
    <w:rsid w:val="0005660F"/>
    <w:rsid w:val="000702AD"/>
    <w:rsid w:val="00070D53"/>
    <w:rsid w:val="000B2EEB"/>
    <w:rsid w:val="000B5610"/>
    <w:rsid w:val="000C05CC"/>
    <w:rsid w:val="000C330C"/>
    <w:rsid w:val="000D401E"/>
    <w:rsid w:val="00162E2F"/>
    <w:rsid w:val="00195ACA"/>
    <w:rsid w:val="001A7A90"/>
    <w:rsid w:val="001C4521"/>
    <w:rsid w:val="00212B1D"/>
    <w:rsid w:val="002530AF"/>
    <w:rsid w:val="0025338A"/>
    <w:rsid w:val="00271A02"/>
    <w:rsid w:val="00297982"/>
    <w:rsid w:val="002A7493"/>
    <w:rsid w:val="002C3431"/>
    <w:rsid w:val="002E3A4C"/>
    <w:rsid w:val="002F25DE"/>
    <w:rsid w:val="0031373B"/>
    <w:rsid w:val="00324128"/>
    <w:rsid w:val="00361E35"/>
    <w:rsid w:val="003664E9"/>
    <w:rsid w:val="003679A1"/>
    <w:rsid w:val="003A42F0"/>
    <w:rsid w:val="003B4AF3"/>
    <w:rsid w:val="003E1F76"/>
    <w:rsid w:val="00467537"/>
    <w:rsid w:val="00475FD2"/>
    <w:rsid w:val="004C138D"/>
    <w:rsid w:val="004E283C"/>
    <w:rsid w:val="004E7185"/>
    <w:rsid w:val="00512BD7"/>
    <w:rsid w:val="005553EF"/>
    <w:rsid w:val="00567E81"/>
    <w:rsid w:val="00582074"/>
    <w:rsid w:val="00591A57"/>
    <w:rsid w:val="005D0C10"/>
    <w:rsid w:val="00607411"/>
    <w:rsid w:val="006455A5"/>
    <w:rsid w:val="00683131"/>
    <w:rsid w:val="00683E37"/>
    <w:rsid w:val="006A3E34"/>
    <w:rsid w:val="006B2581"/>
    <w:rsid w:val="006F0945"/>
    <w:rsid w:val="007000D9"/>
    <w:rsid w:val="00747701"/>
    <w:rsid w:val="007629D3"/>
    <w:rsid w:val="0077428A"/>
    <w:rsid w:val="00794616"/>
    <w:rsid w:val="007A11AD"/>
    <w:rsid w:val="008047DE"/>
    <w:rsid w:val="00815EC1"/>
    <w:rsid w:val="008160AB"/>
    <w:rsid w:val="00837049"/>
    <w:rsid w:val="008633FA"/>
    <w:rsid w:val="008655C0"/>
    <w:rsid w:val="008B2330"/>
    <w:rsid w:val="008D16C3"/>
    <w:rsid w:val="008D30F9"/>
    <w:rsid w:val="008D53B2"/>
    <w:rsid w:val="00912169"/>
    <w:rsid w:val="0092037A"/>
    <w:rsid w:val="009246AD"/>
    <w:rsid w:val="009F2E7E"/>
    <w:rsid w:val="009F4E14"/>
    <w:rsid w:val="00A02D62"/>
    <w:rsid w:val="00A20EB5"/>
    <w:rsid w:val="00A52F83"/>
    <w:rsid w:val="00A764EF"/>
    <w:rsid w:val="00AB34C5"/>
    <w:rsid w:val="00AF4F6D"/>
    <w:rsid w:val="00AF7F6A"/>
    <w:rsid w:val="00B05A88"/>
    <w:rsid w:val="00B10E13"/>
    <w:rsid w:val="00B44641"/>
    <w:rsid w:val="00B5183C"/>
    <w:rsid w:val="00B612A7"/>
    <w:rsid w:val="00B7618D"/>
    <w:rsid w:val="00BD2C44"/>
    <w:rsid w:val="00C10EE0"/>
    <w:rsid w:val="00C12556"/>
    <w:rsid w:val="00C6170A"/>
    <w:rsid w:val="00C87781"/>
    <w:rsid w:val="00CC7203"/>
    <w:rsid w:val="00CE455B"/>
    <w:rsid w:val="00D00C36"/>
    <w:rsid w:val="00D1415B"/>
    <w:rsid w:val="00D318E5"/>
    <w:rsid w:val="00D32E24"/>
    <w:rsid w:val="00D402D2"/>
    <w:rsid w:val="00DD6DBB"/>
    <w:rsid w:val="00DF5C9F"/>
    <w:rsid w:val="00E074F2"/>
    <w:rsid w:val="00E13414"/>
    <w:rsid w:val="00E67E41"/>
    <w:rsid w:val="00E71BEA"/>
    <w:rsid w:val="00E91482"/>
    <w:rsid w:val="00E96302"/>
    <w:rsid w:val="00EA3090"/>
    <w:rsid w:val="00F134F5"/>
    <w:rsid w:val="00F47B85"/>
    <w:rsid w:val="00F54BDD"/>
    <w:rsid w:val="00F5645C"/>
    <w:rsid w:val="00FE299F"/>
    <w:rsid w:val="00FE6219"/>
    <w:rsid w:val="00FF2D4B"/>
    <w:rsid w:val="15BE69AC"/>
    <w:rsid w:val="2A6C6DA1"/>
    <w:rsid w:val="37436AC8"/>
    <w:rsid w:val="410F0A26"/>
    <w:rsid w:val="498C7C37"/>
    <w:rsid w:val="4AFF75E1"/>
    <w:rsid w:val="4FF15CDF"/>
    <w:rsid w:val="552A00CC"/>
    <w:rsid w:val="7B091709"/>
    <w:rsid w:val="7CE77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uiPriority="0" w:name="annotation text"/>
    <w:lsdException w:qFormat="1"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jc w:val="both"/>
    </w:pPr>
    <w:rPr>
      <w:rFonts w:ascii="Times" w:hAnsi="Times" w:cs="Times New Roman" w:eastAsiaTheme="minorEastAsia"/>
      <w:sz w:val="24"/>
      <w:lang w:val="en-US" w:eastAsia="en-US"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0"/>
    <w:rPr>
      <w:rFonts w:eastAsia="黑体" w:asciiTheme="majorHAnsi" w:hAnsiTheme="majorHAnsi" w:cstheme="majorBidi"/>
      <w:sz w:val="20"/>
    </w:rPr>
  </w:style>
  <w:style w:type="paragraph" w:styleId="3">
    <w:name w:val="Body Text"/>
    <w:basedOn w:val="1"/>
    <w:qFormat/>
    <w:uiPriority w:val="0"/>
    <w:pPr>
      <w:jc w:val="center"/>
    </w:pPr>
    <w:rPr>
      <w:b/>
      <w:sz w:val="40"/>
    </w:rPr>
  </w:style>
  <w:style w:type="paragraph" w:styleId="4">
    <w:name w:val="Balloon Text"/>
    <w:basedOn w:val="1"/>
    <w:semiHidden/>
    <w:qFormat/>
    <w:uiPriority w:val="0"/>
    <w:rPr>
      <w:rFonts w:ascii="Tahoma" w:hAnsi="Tahoma" w:cs="Tahoma"/>
      <w:sz w:val="16"/>
      <w:szCs w:val="16"/>
    </w:rPr>
  </w:style>
  <w:style w:type="paragraph" w:styleId="5">
    <w:name w:val="footer"/>
    <w:basedOn w:val="1"/>
    <w:autoRedefine/>
    <w:qFormat/>
    <w:uiPriority w:val="0"/>
    <w:pPr>
      <w:tabs>
        <w:tab w:val="center" w:pos="4320"/>
        <w:tab w:val="right" w:pos="8640"/>
      </w:tabs>
    </w:pPr>
  </w:style>
  <w:style w:type="paragraph" w:styleId="6">
    <w:name w:val="header"/>
    <w:basedOn w:val="1"/>
    <w:link w:val="42"/>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next w:val="8"/>
    <w:semiHidden/>
    <w:qFormat/>
    <w:uiPriority w:val="0"/>
  </w:style>
  <w:style w:type="paragraph" w:customStyle="1" w:styleId="8">
    <w:name w:val="TF_References_Section"/>
    <w:basedOn w:val="1"/>
    <w:qFormat/>
    <w:uiPriority w:val="0"/>
    <w:pPr>
      <w:spacing w:line="480" w:lineRule="auto"/>
      <w:ind w:firstLine="187"/>
    </w:pPr>
  </w:style>
  <w:style w:type="character" w:styleId="11">
    <w:name w:val="page number"/>
    <w:basedOn w:val="10"/>
    <w:autoRedefine/>
    <w:qFormat/>
    <w:uiPriority w:val="0"/>
  </w:style>
  <w:style w:type="character" w:styleId="12">
    <w:name w:val="FollowedHyperlink"/>
    <w:qFormat/>
    <w:uiPriority w:val="0"/>
    <w:rPr>
      <w:color w:val="800080"/>
      <w:u w:val="single"/>
    </w:rPr>
  </w:style>
  <w:style w:type="character" w:styleId="13">
    <w:name w:val="Hyperlink"/>
    <w:autoRedefine/>
    <w:qFormat/>
    <w:uiPriority w:val="0"/>
    <w:rPr>
      <w:color w:val="0000FF"/>
      <w:u w:val="single"/>
    </w:rPr>
  </w:style>
  <w:style w:type="paragraph" w:customStyle="1" w:styleId="14">
    <w:name w:val="TA_Main_Text"/>
    <w:basedOn w:val="1"/>
    <w:autoRedefine/>
    <w:qFormat/>
    <w:uiPriority w:val="0"/>
    <w:pPr>
      <w:spacing w:after="0" w:line="480" w:lineRule="auto"/>
      <w:ind w:firstLine="202"/>
    </w:pPr>
  </w:style>
  <w:style w:type="paragraph" w:customStyle="1" w:styleId="15">
    <w:name w:val="BA_Title"/>
    <w:basedOn w:val="1"/>
    <w:next w:val="16"/>
    <w:autoRedefine/>
    <w:qFormat/>
    <w:uiPriority w:val="0"/>
    <w:pPr>
      <w:spacing w:before="720" w:after="360" w:line="480" w:lineRule="auto"/>
      <w:jc w:val="center"/>
    </w:pPr>
    <w:rPr>
      <w:rFonts w:ascii="Times New Roman" w:hAnsi="Times New Roman"/>
      <w:sz w:val="44"/>
    </w:rPr>
  </w:style>
  <w:style w:type="paragraph" w:customStyle="1" w:styleId="16">
    <w:name w:val="BB_Author_Name"/>
    <w:basedOn w:val="1"/>
    <w:next w:val="17"/>
    <w:autoRedefine/>
    <w:qFormat/>
    <w:uiPriority w:val="0"/>
    <w:pPr>
      <w:spacing w:after="240" w:line="480" w:lineRule="auto"/>
      <w:jc w:val="center"/>
    </w:pPr>
    <w:rPr>
      <w:i/>
    </w:rPr>
  </w:style>
  <w:style w:type="paragraph" w:customStyle="1" w:styleId="17">
    <w:name w:val="BC_Author_Address"/>
    <w:basedOn w:val="1"/>
    <w:next w:val="18"/>
    <w:autoRedefine/>
    <w:qFormat/>
    <w:uiPriority w:val="0"/>
    <w:pPr>
      <w:spacing w:after="240" w:line="480" w:lineRule="auto"/>
      <w:jc w:val="center"/>
    </w:pPr>
  </w:style>
  <w:style w:type="paragraph" w:customStyle="1" w:styleId="18">
    <w:name w:val="BI_Email_Address"/>
    <w:basedOn w:val="1"/>
    <w:next w:val="19"/>
    <w:qFormat/>
    <w:uiPriority w:val="0"/>
    <w:pPr>
      <w:spacing w:line="480" w:lineRule="auto"/>
    </w:pPr>
  </w:style>
  <w:style w:type="paragraph" w:customStyle="1" w:styleId="19">
    <w:name w:val="AI_Received_Date"/>
    <w:basedOn w:val="1"/>
    <w:next w:val="20"/>
    <w:autoRedefine/>
    <w:qFormat/>
    <w:uiPriority w:val="0"/>
    <w:pPr>
      <w:spacing w:after="240" w:line="480" w:lineRule="auto"/>
    </w:pPr>
    <w:rPr>
      <w:b/>
    </w:rPr>
  </w:style>
  <w:style w:type="paragraph" w:customStyle="1" w:styleId="20">
    <w:name w:val="BD_Abstract"/>
    <w:basedOn w:val="1"/>
    <w:next w:val="14"/>
    <w:autoRedefine/>
    <w:qFormat/>
    <w:uiPriority w:val="0"/>
    <w:pPr>
      <w:spacing w:before="360" w:after="360" w:line="480" w:lineRule="auto"/>
    </w:pPr>
  </w:style>
  <w:style w:type="paragraph" w:customStyle="1" w:styleId="21">
    <w:name w:val="TD_Acknowledgments"/>
    <w:basedOn w:val="1"/>
    <w:next w:val="1"/>
    <w:autoRedefine/>
    <w:qFormat/>
    <w:uiPriority w:val="0"/>
    <w:pPr>
      <w:spacing w:before="200" w:line="480" w:lineRule="auto"/>
      <w:ind w:firstLine="202"/>
    </w:pPr>
  </w:style>
  <w:style w:type="paragraph" w:customStyle="1" w:styleId="22">
    <w:name w:val="TE_Supporting_Information"/>
    <w:basedOn w:val="1"/>
    <w:next w:val="1"/>
    <w:link w:val="47"/>
    <w:autoRedefine/>
    <w:qFormat/>
    <w:uiPriority w:val="0"/>
    <w:pPr>
      <w:spacing w:line="480" w:lineRule="auto"/>
      <w:ind w:firstLine="187"/>
    </w:pPr>
  </w:style>
  <w:style w:type="paragraph" w:customStyle="1" w:styleId="23">
    <w:name w:val="VC_Scheme_Title"/>
    <w:basedOn w:val="1"/>
    <w:next w:val="1"/>
    <w:autoRedefine/>
    <w:qFormat/>
    <w:uiPriority w:val="0"/>
    <w:pPr>
      <w:spacing w:line="480" w:lineRule="auto"/>
    </w:pPr>
  </w:style>
  <w:style w:type="paragraph" w:customStyle="1" w:styleId="24">
    <w:name w:val="VD_Table_Title"/>
    <w:basedOn w:val="1"/>
    <w:next w:val="1"/>
    <w:autoRedefine/>
    <w:qFormat/>
    <w:uiPriority w:val="0"/>
    <w:pPr>
      <w:spacing w:line="480" w:lineRule="auto"/>
    </w:pPr>
  </w:style>
  <w:style w:type="paragraph" w:customStyle="1" w:styleId="25">
    <w:name w:val="VA_Figure_Caption"/>
    <w:basedOn w:val="1"/>
    <w:next w:val="1"/>
    <w:autoRedefine/>
    <w:qFormat/>
    <w:uiPriority w:val="0"/>
    <w:pPr>
      <w:spacing w:line="480" w:lineRule="auto"/>
    </w:pPr>
  </w:style>
  <w:style w:type="paragraph" w:customStyle="1" w:styleId="26">
    <w:name w:val="VB_Chart_Title"/>
    <w:basedOn w:val="1"/>
    <w:next w:val="1"/>
    <w:autoRedefine/>
    <w:qFormat/>
    <w:uiPriority w:val="0"/>
    <w:pPr>
      <w:spacing w:line="480" w:lineRule="auto"/>
    </w:pPr>
  </w:style>
  <w:style w:type="paragraph" w:customStyle="1" w:styleId="27">
    <w:name w:val="FE_Table_Footnote"/>
    <w:basedOn w:val="1"/>
    <w:next w:val="1"/>
    <w:autoRedefine/>
    <w:qFormat/>
    <w:uiPriority w:val="0"/>
    <w:pPr>
      <w:ind w:firstLine="187"/>
    </w:pPr>
  </w:style>
  <w:style w:type="paragraph" w:customStyle="1" w:styleId="28">
    <w:name w:val="FC_Chart_Footnote"/>
    <w:basedOn w:val="1"/>
    <w:next w:val="1"/>
    <w:autoRedefine/>
    <w:qFormat/>
    <w:uiPriority w:val="0"/>
    <w:pPr>
      <w:ind w:firstLine="187"/>
    </w:pPr>
  </w:style>
  <w:style w:type="paragraph" w:customStyle="1" w:styleId="29">
    <w:name w:val="FD_Scheme_Footnote"/>
    <w:basedOn w:val="1"/>
    <w:next w:val="1"/>
    <w:autoRedefine/>
    <w:qFormat/>
    <w:uiPriority w:val="0"/>
    <w:pPr>
      <w:ind w:firstLine="187"/>
    </w:pPr>
  </w:style>
  <w:style w:type="paragraph" w:customStyle="1" w:styleId="30">
    <w:name w:val="TC_Table_Body"/>
    <w:basedOn w:val="1"/>
    <w:autoRedefine/>
    <w:qFormat/>
    <w:uiPriority w:val="0"/>
  </w:style>
  <w:style w:type="paragraph" w:customStyle="1" w:styleId="31">
    <w:name w:val="AF_Title_Running_Head"/>
    <w:basedOn w:val="1"/>
    <w:next w:val="14"/>
    <w:autoRedefine/>
    <w:qFormat/>
    <w:uiPriority w:val="0"/>
    <w:pPr>
      <w:spacing w:line="480" w:lineRule="auto"/>
    </w:pPr>
  </w:style>
  <w:style w:type="paragraph" w:customStyle="1" w:styleId="32">
    <w:name w:val="BE_Author_Biography"/>
    <w:basedOn w:val="1"/>
    <w:autoRedefine/>
    <w:qFormat/>
    <w:uiPriority w:val="0"/>
    <w:pPr>
      <w:spacing w:line="480" w:lineRule="auto"/>
    </w:pPr>
  </w:style>
  <w:style w:type="paragraph" w:customStyle="1" w:styleId="33">
    <w:name w:val="FA_Corresponding_Author_Footnote"/>
    <w:basedOn w:val="1"/>
    <w:next w:val="14"/>
    <w:autoRedefine/>
    <w:qFormat/>
    <w:uiPriority w:val="0"/>
    <w:pPr>
      <w:spacing w:line="480" w:lineRule="auto"/>
    </w:pPr>
  </w:style>
  <w:style w:type="paragraph" w:customStyle="1" w:styleId="34">
    <w:name w:val="SN_Synopsis_TOC"/>
    <w:basedOn w:val="1"/>
    <w:autoRedefine/>
    <w:qFormat/>
    <w:uiPriority w:val="0"/>
    <w:pPr>
      <w:spacing w:line="480" w:lineRule="auto"/>
    </w:pPr>
  </w:style>
  <w:style w:type="paragraph" w:customStyle="1" w:styleId="35">
    <w:name w:val="BG_Keywords"/>
    <w:basedOn w:val="1"/>
    <w:link w:val="43"/>
    <w:autoRedefine/>
    <w:qFormat/>
    <w:uiPriority w:val="0"/>
    <w:pPr>
      <w:spacing w:line="480" w:lineRule="auto"/>
    </w:pPr>
  </w:style>
  <w:style w:type="paragraph" w:customStyle="1" w:styleId="36">
    <w:name w:val="BH_Briefs"/>
    <w:basedOn w:val="1"/>
    <w:autoRedefine/>
    <w:qFormat/>
    <w:uiPriority w:val="0"/>
    <w:pPr>
      <w:spacing w:line="480" w:lineRule="auto"/>
    </w:pPr>
  </w:style>
  <w:style w:type="paragraph" w:customStyle="1" w:styleId="37">
    <w:name w:val="Style FA_Corresponding_Author_Footnote + 7 pt"/>
    <w:basedOn w:val="1"/>
    <w:next w:val="35"/>
    <w:link w:val="38"/>
    <w:autoRedefine/>
    <w:qFormat/>
    <w:uiPriority w:val="0"/>
    <w:pPr>
      <w:spacing w:after="0"/>
      <w:jc w:val="left"/>
    </w:pPr>
    <w:rPr>
      <w:rFonts w:ascii="Arno Pro" w:hAnsi="Arno Pro"/>
      <w:kern w:val="20"/>
      <w:sz w:val="18"/>
    </w:rPr>
  </w:style>
  <w:style w:type="character" w:customStyle="1" w:styleId="38">
    <w:name w:val="Style FA_Corresponding_Author_Footnote + 7 pt Char"/>
    <w:link w:val="37"/>
    <w:qFormat/>
    <w:uiPriority w:val="0"/>
    <w:rPr>
      <w:rFonts w:ascii="Arno Pro" w:hAnsi="Arno Pro"/>
      <w:kern w:val="20"/>
      <w:sz w:val="18"/>
    </w:rPr>
  </w:style>
  <w:style w:type="paragraph" w:customStyle="1" w:styleId="39">
    <w:name w:val="FA_Author_Info_Subtitle"/>
    <w:basedOn w:val="1"/>
    <w:link w:val="40"/>
    <w:autoRedefine/>
    <w:qFormat/>
    <w:uiPriority w:val="0"/>
    <w:pPr>
      <w:spacing w:before="120" w:after="60" w:line="480" w:lineRule="auto"/>
      <w:jc w:val="left"/>
    </w:pPr>
    <w:rPr>
      <w:b/>
    </w:rPr>
  </w:style>
  <w:style w:type="character" w:customStyle="1" w:styleId="40">
    <w:name w:val="FA_Author_Info_Subtitle Char"/>
    <w:link w:val="39"/>
    <w:autoRedefine/>
    <w:qFormat/>
    <w:uiPriority w:val="0"/>
    <w:rPr>
      <w:rFonts w:ascii="Times" w:hAnsi="Times"/>
      <w:b/>
      <w:sz w:val="24"/>
    </w:rPr>
  </w:style>
  <w:style w:type="paragraph" w:customStyle="1" w:styleId="41">
    <w:name w:val="Default"/>
    <w:autoRedefine/>
    <w:qFormat/>
    <w:uiPriority w:val="0"/>
    <w:pPr>
      <w:autoSpaceDE w:val="0"/>
      <w:autoSpaceDN w:val="0"/>
      <w:adjustRightInd w:val="0"/>
    </w:pPr>
    <w:rPr>
      <w:rFonts w:ascii="Symbol" w:hAnsi="Symbol" w:cs="Symbol" w:eastAsiaTheme="minorEastAsia"/>
      <w:color w:val="000000"/>
      <w:sz w:val="24"/>
      <w:szCs w:val="24"/>
      <w:lang w:val="en-US" w:eastAsia="en-US" w:bidi="ar-SA"/>
    </w:rPr>
  </w:style>
  <w:style w:type="character" w:customStyle="1" w:styleId="42">
    <w:name w:val="页眉 字符"/>
    <w:basedOn w:val="10"/>
    <w:link w:val="6"/>
    <w:autoRedefine/>
    <w:qFormat/>
    <w:uiPriority w:val="0"/>
    <w:rPr>
      <w:rFonts w:ascii="Times" w:hAnsi="Times"/>
      <w:sz w:val="18"/>
      <w:szCs w:val="18"/>
    </w:rPr>
  </w:style>
  <w:style w:type="character" w:customStyle="1" w:styleId="43">
    <w:name w:val="BG_Keywords Char"/>
    <w:link w:val="35"/>
    <w:autoRedefine/>
    <w:qFormat/>
    <w:uiPriority w:val="0"/>
  </w:style>
  <w:style w:type="paragraph" w:customStyle="1" w:styleId="44">
    <w:name w:val="Head 1"/>
    <w:basedOn w:val="1"/>
    <w:autoRedefine/>
    <w:qFormat/>
    <w:uiPriority w:val="0"/>
    <w:pPr>
      <w:spacing w:line="360" w:lineRule="auto"/>
    </w:pPr>
    <w:rPr>
      <w:b/>
    </w:rPr>
  </w:style>
  <w:style w:type="paragraph" w:customStyle="1" w:styleId="45">
    <w:name w:val="Experimental Text"/>
    <w:basedOn w:val="1"/>
    <w:autoRedefine/>
    <w:qFormat/>
    <w:uiPriority w:val="0"/>
    <w:pPr>
      <w:spacing w:line="480" w:lineRule="auto"/>
    </w:pPr>
  </w:style>
  <w:style w:type="character" w:customStyle="1" w:styleId="46">
    <w:name w:val="fontstyle01"/>
    <w:basedOn w:val="10"/>
    <w:autoRedefine/>
    <w:qFormat/>
    <w:uiPriority w:val="0"/>
    <w:rPr>
      <w:rFonts w:hint="default" w:ascii="AdvOTcb88df00" w:hAnsi="AdvOTcb88df00"/>
      <w:color w:val="000000"/>
      <w:sz w:val="20"/>
      <w:szCs w:val="20"/>
    </w:rPr>
  </w:style>
  <w:style w:type="character" w:customStyle="1" w:styleId="47">
    <w:name w:val="TE_Supporting_Information Char"/>
    <w:link w:val="22"/>
    <w:autoRedefine/>
    <w:qFormat/>
    <w:uiPriority w:val="0"/>
  </w:style>
  <w:style w:type="character" w:customStyle="1" w:styleId="48">
    <w:name w:val="15"/>
    <w:basedOn w:val="10"/>
    <w:autoRedefine/>
    <w:qFormat/>
    <w:uiPriority w:val="0"/>
    <w:rPr>
      <w:rFonts w:hint="default" w:ascii="Times New Roman" w:hAnsi="Times New Roman" w:cs="Times New Roman"/>
    </w:rPr>
  </w:style>
  <w:style w:type="character" w:customStyle="1" w:styleId="49">
    <w:name w:val="10"/>
    <w:basedOn w:val="10"/>
    <w:autoRedefine/>
    <w:qFormat/>
    <w:uiPriority w:val="0"/>
    <w:rPr>
      <w:rFonts w:hint="default" w:ascii="Times New Roman" w:hAnsi="Times New Roman" w:cs="Times New Roman"/>
    </w:rPr>
  </w:style>
  <w:style w:type="paragraph" w:styleId="5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1.tiff"/><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tiff"/><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tiff"/><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EgdeDownload\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acstemplate_msw2010.dotx</Template>
  <Pages>16</Pages>
  <Words>1570</Words>
  <Characters>8873</Characters>
  <Lines>75</Lines>
  <Paragraphs>21</Paragraphs>
  <TotalTime>28</TotalTime>
  <ScaleCrop>false</ScaleCrop>
  <LinksUpToDate>false</LinksUpToDate>
  <CharactersWithSpaces>10403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2024-07-22T09:49:00Z</dcterms:created>
  <dc:creator>Anderson</dc:creator>
  <cp:lastModifiedBy>Anderson</cp:lastModifiedBy>
  <dcterms:modified xsi:type="dcterms:W3CDTF">2024-08-05T14:29:06Z</dcterms:modified>
  <dc:title>Template for Electronic Submission to ACS Journals</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23E039C117504221BD73E1C4A682ABC6_13</vt:lpwstr>
  </property>
  <property fmtid="{D5CDD505-2E9C-101B-9397-08002B2CF9AE}" pid="3" name="KSOProductBuildVer">
    <vt:lpwstr>2052-12.1.0.17147</vt:lpwstr>
  </property>
</Properties>
</file>