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5273B" w:rsidRPr="00344843" w:rsidRDefault="0065273B">
      <w:pPr>
        <w:rPr>
          <w:rFonts w:ascii="Times New Roman" w:hAnsi="Times New Roman" w:cs="Times New Roman"/>
        </w:rPr>
      </w:pPr>
      <w:bookmarkStart w:id="0" w:name="_GoBack"/>
      <w:bookmarkEnd w:id="0"/>
    </w:p>
    <w:p w:rsidR="0065273B" w:rsidRPr="00344843" w:rsidRDefault="006570AC">
      <w:pPr>
        <w:spacing w:line="360" w:lineRule="auto"/>
        <w:jc w:val="center"/>
        <w:rPr>
          <w:rFonts w:ascii="Times New Roman" w:hAnsi="Times New Roman" w:cs="Times New Roman"/>
          <w:b/>
          <w:kern w:val="0"/>
          <w:sz w:val="28"/>
          <w:szCs w:val="21"/>
          <w:lang w:eastAsia="en-US"/>
        </w:rPr>
      </w:pPr>
      <w:r w:rsidRPr="00344843">
        <w:rPr>
          <w:rFonts w:ascii="Times New Roman" w:hAnsi="Times New Roman" w:cs="Times New Roman"/>
          <w:b/>
          <w:sz w:val="24"/>
        </w:rPr>
        <w:t>Robust π-Conjugated Hydrogen-bonded Organic Framework Nanowires Enable Stable and Fast Potassium Storage</w:t>
      </w:r>
      <w:r w:rsidRPr="00344843">
        <w:rPr>
          <w:rFonts w:ascii="Times New Roman" w:hAnsi="Times New Roman" w:cs="Times New Roman"/>
          <w:b/>
          <w:sz w:val="24"/>
        </w:rPr>
        <w:cr/>
      </w:r>
      <w:r w:rsidRPr="00344843">
        <w:rPr>
          <w:rFonts w:ascii="Times New Roman" w:hAnsi="Times New Roman" w:cs="Times New Roman"/>
          <w:sz w:val="24"/>
        </w:rPr>
        <w:t xml:space="preserve">Kang Han, </w:t>
      </w:r>
      <w:proofErr w:type="spellStart"/>
      <w:r w:rsidRPr="00344843">
        <w:rPr>
          <w:rFonts w:ascii="Times New Roman" w:hAnsi="Times New Roman" w:cs="Times New Roman"/>
          <w:sz w:val="24"/>
        </w:rPr>
        <w:t>Chaoqiang</w:t>
      </w:r>
      <w:proofErr w:type="spellEnd"/>
      <w:r w:rsidRPr="00344843">
        <w:rPr>
          <w:rFonts w:ascii="Times New Roman" w:hAnsi="Times New Roman" w:cs="Times New Roman"/>
          <w:sz w:val="24"/>
        </w:rPr>
        <w:t xml:space="preserve"> Tan, </w:t>
      </w:r>
      <w:proofErr w:type="spellStart"/>
      <w:r w:rsidRPr="00344843">
        <w:rPr>
          <w:rFonts w:ascii="Times New Roman" w:hAnsi="Times New Roman" w:cs="Times New Roman" w:hint="eastAsia"/>
          <w:sz w:val="24"/>
        </w:rPr>
        <w:t>Sicheng</w:t>
      </w:r>
      <w:proofErr w:type="spellEnd"/>
      <w:r w:rsidRPr="00344843">
        <w:rPr>
          <w:rFonts w:ascii="Times New Roman" w:hAnsi="Times New Roman" w:cs="Times New Roman" w:hint="eastAsia"/>
          <w:sz w:val="24"/>
        </w:rPr>
        <w:t xml:space="preserve"> </w:t>
      </w:r>
      <w:proofErr w:type="spellStart"/>
      <w:r w:rsidRPr="00344843">
        <w:rPr>
          <w:rFonts w:ascii="Times New Roman" w:hAnsi="Times New Roman" w:cs="Times New Roman" w:hint="eastAsia"/>
          <w:sz w:val="24"/>
        </w:rPr>
        <w:t>Feng</w:t>
      </w:r>
      <w:proofErr w:type="spellEnd"/>
      <w:r w:rsidRPr="00344843">
        <w:rPr>
          <w:rFonts w:ascii="Times New Roman" w:hAnsi="Times New Roman" w:cs="Times New Roman" w:hint="eastAsia"/>
          <w:sz w:val="24"/>
        </w:rPr>
        <w:t>,</w:t>
      </w:r>
      <w:r w:rsidRPr="00344843">
        <w:rPr>
          <w:rFonts w:ascii="Times New Roman" w:hAnsi="Times New Roman" w:cs="Times New Roman" w:hint="eastAsia"/>
          <w:sz w:val="24"/>
        </w:rPr>
        <w:t xml:space="preserve"> </w:t>
      </w:r>
      <w:r w:rsidRPr="00344843">
        <w:rPr>
          <w:rFonts w:ascii="Times New Roman" w:hAnsi="Times New Roman" w:cs="Times New Roman"/>
          <w:sz w:val="24"/>
        </w:rPr>
        <w:t xml:space="preserve">Qi Zhang, </w:t>
      </w:r>
      <w:proofErr w:type="spellStart"/>
      <w:r w:rsidRPr="00344843">
        <w:rPr>
          <w:rFonts w:ascii="Times New Roman" w:hAnsi="Times New Roman" w:cs="Times New Roman"/>
          <w:sz w:val="24"/>
        </w:rPr>
        <w:t>Xinying</w:t>
      </w:r>
      <w:proofErr w:type="spellEnd"/>
      <w:r w:rsidRPr="00344843">
        <w:rPr>
          <w:rFonts w:ascii="Times New Roman" w:hAnsi="Times New Roman" w:cs="Times New Roman"/>
          <w:sz w:val="24"/>
        </w:rPr>
        <w:t xml:space="preserve"> </w:t>
      </w:r>
      <w:proofErr w:type="spellStart"/>
      <w:r w:rsidRPr="00344843">
        <w:rPr>
          <w:rFonts w:ascii="Times New Roman" w:hAnsi="Times New Roman" w:cs="Times New Roman"/>
          <w:sz w:val="24"/>
        </w:rPr>
        <w:t>Qiao</w:t>
      </w:r>
      <w:proofErr w:type="spellEnd"/>
      <w:r w:rsidRPr="00344843">
        <w:rPr>
          <w:rFonts w:ascii="Times New Roman" w:hAnsi="Times New Roman" w:cs="Times New Roman"/>
          <w:sz w:val="24"/>
        </w:rPr>
        <w:t xml:space="preserve">, </w:t>
      </w:r>
      <w:proofErr w:type="spellStart"/>
      <w:r w:rsidRPr="00344843">
        <w:rPr>
          <w:rFonts w:ascii="Times New Roman" w:hAnsi="Times New Roman" w:cs="Times New Roman" w:hint="eastAsia"/>
          <w:sz w:val="24"/>
        </w:rPr>
        <w:t>Guangwan</w:t>
      </w:r>
      <w:proofErr w:type="spellEnd"/>
      <w:r w:rsidRPr="00344843">
        <w:rPr>
          <w:rFonts w:ascii="Times New Roman" w:hAnsi="Times New Roman" w:cs="Times New Roman" w:hint="eastAsia"/>
          <w:sz w:val="24"/>
        </w:rPr>
        <w:t xml:space="preserve"> Zhang, </w:t>
      </w:r>
      <w:proofErr w:type="spellStart"/>
      <w:r w:rsidRPr="00344843">
        <w:rPr>
          <w:rFonts w:ascii="Times New Roman" w:hAnsi="Times New Roman" w:cs="Times New Roman"/>
          <w:sz w:val="24"/>
        </w:rPr>
        <w:t>Zhenhang</w:t>
      </w:r>
      <w:proofErr w:type="spellEnd"/>
      <w:r w:rsidRPr="00344843">
        <w:rPr>
          <w:rFonts w:ascii="Times New Roman" w:hAnsi="Times New Roman" w:cs="Times New Roman"/>
          <w:sz w:val="24"/>
        </w:rPr>
        <w:t xml:space="preserve"> </w:t>
      </w:r>
      <w:proofErr w:type="spellStart"/>
      <w:r w:rsidRPr="00344843">
        <w:rPr>
          <w:rFonts w:ascii="Times New Roman" w:hAnsi="Times New Roman" w:cs="Times New Roman"/>
          <w:sz w:val="24"/>
        </w:rPr>
        <w:t>Zhong</w:t>
      </w:r>
      <w:proofErr w:type="spellEnd"/>
      <w:r w:rsidRPr="00344843">
        <w:rPr>
          <w:rFonts w:ascii="Times New Roman" w:hAnsi="Times New Roman" w:cs="Times New Roman"/>
          <w:sz w:val="24"/>
        </w:rPr>
        <w:t xml:space="preserve">, </w:t>
      </w:r>
      <w:proofErr w:type="spellStart"/>
      <w:r w:rsidRPr="00344843">
        <w:rPr>
          <w:rFonts w:ascii="Times New Roman" w:hAnsi="Times New Roman" w:cs="Times New Roman"/>
          <w:sz w:val="24"/>
        </w:rPr>
        <w:t>Xuanpeng</w:t>
      </w:r>
      <w:proofErr w:type="spellEnd"/>
      <w:r w:rsidRPr="00344843">
        <w:rPr>
          <w:rFonts w:ascii="Times New Roman" w:hAnsi="Times New Roman" w:cs="Times New Roman"/>
          <w:sz w:val="24"/>
        </w:rPr>
        <w:t xml:space="preserve"> Wang, </w:t>
      </w:r>
      <w:proofErr w:type="spellStart"/>
      <w:r w:rsidRPr="00344843">
        <w:rPr>
          <w:rFonts w:ascii="Times New Roman" w:hAnsi="Times New Roman" w:cs="Times New Roman"/>
          <w:sz w:val="24"/>
        </w:rPr>
        <w:t>Jiashen</w:t>
      </w:r>
      <w:proofErr w:type="spellEnd"/>
      <w:r w:rsidRPr="00344843">
        <w:rPr>
          <w:rFonts w:ascii="Times New Roman" w:hAnsi="Times New Roman" w:cs="Times New Roman"/>
          <w:sz w:val="24"/>
        </w:rPr>
        <w:t xml:space="preserve"> </w:t>
      </w:r>
      <w:proofErr w:type="spellStart"/>
      <w:r w:rsidRPr="00344843">
        <w:rPr>
          <w:rFonts w:ascii="Times New Roman" w:hAnsi="Times New Roman" w:cs="Times New Roman"/>
          <w:sz w:val="24"/>
        </w:rPr>
        <w:t>Meng</w:t>
      </w:r>
      <w:proofErr w:type="spellEnd"/>
      <w:r w:rsidRPr="00344843">
        <w:rPr>
          <w:rFonts w:ascii="Times New Roman" w:hAnsi="Times New Roman" w:cs="Times New Roman"/>
          <w:sz w:val="24"/>
        </w:rPr>
        <w:t xml:space="preserve">*, </w:t>
      </w:r>
      <w:proofErr w:type="spellStart"/>
      <w:r w:rsidRPr="00344843">
        <w:rPr>
          <w:rFonts w:ascii="Times New Roman" w:hAnsi="Times New Roman" w:cs="Times New Roman"/>
          <w:sz w:val="24"/>
        </w:rPr>
        <w:t>Liqiang</w:t>
      </w:r>
      <w:proofErr w:type="spellEnd"/>
      <w:r w:rsidRPr="00344843">
        <w:rPr>
          <w:rFonts w:ascii="Times New Roman" w:hAnsi="Times New Roman" w:cs="Times New Roman"/>
          <w:sz w:val="24"/>
        </w:rPr>
        <w:t xml:space="preserve"> Mai*</w:t>
      </w:r>
    </w:p>
    <w:p w:rsidR="0065273B" w:rsidRPr="00344843" w:rsidRDefault="006570AC">
      <w:pPr>
        <w:spacing w:beforeLines="50" w:before="156" w:afterLines="50" w:after="156"/>
        <w:rPr>
          <w:rFonts w:ascii="Times New Roman" w:hAnsi="Times New Roman" w:cs="Times New Roman"/>
        </w:rPr>
      </w:pPr>
      <w:bookmarkStart w:id="1" w:name="_Hlk166753161"/>
      <w:r w:rsidRPr="00344843">
        <w:rPr>
          <w:rFonts w:ascii="Times New Roman" w:hAnsi="Times New Roman" w:cs="Times New Roman" w:hint="eastAsia"/>
          <w:b/>
          <w:kern w:val="0"/>
          <w:sz w:val="28"/>
          <w:szCs w:val="21"/>
          <w:lang w:eastAsia="en-US"/>
        </w:rPr>
        <w:t>Experimental Section</w:t>
      </w:r>
      <w:bookmarkEnd w:id="1"/>
      <w:r w:rsidRPr="00344843">
        <w:rPr>
          <w:rFonts w:ascii="Times New Roman" w:hAnsi="Times New Roman" w:cs="Times New Roman"/>
          <w:b/>
          <w:kern w:val="0"/>
          <w:sz w:val="28"/>
          <w:szCs w:val="21"/>
          <w:lang w:eastAsia="en-US"/>
        </w:rPr>
        <w:t xml:space="preserve">   </w:t>
      </w:r>
      <w:r w:rsidRPr="00344843">
        <w:rPr>
          <w:rFonts w:ascii="Times New Roman" w:hAnsi="Times New Roman" w:cs="Times New Roman"/>
          <w:b/>
          <w:kern w:val="0"/>
          <w:sz w:val="24"/>
          <w:szCs w:val="20"/>
          <w:lang w:eastAsia="en-US"/>
        </w:rPr>
        <w:t xml:space="preserve">  </w:t>
      </w:r>
      <w:r w:rsidRPr="00344843">
        <w:rPr>
          <w:rFonts w:ascii="Times New Roman" w:hAnsi="Times New Roman" w:cs="Times New Roman"/>
        </w:rPr>
        <w:t xml:space="preserve">               </w:t>
      </w:r>
    </w:p>
    <w:p w:rsidR="0065273B" w:rsidRPr="00344843" w:rsidRDefault="006570AC">
      <w:pPr>
        <w:spacing w:line="312" w:lineRule="auto"/>
        <w:rPr>
          <w:rFonts w:ascii="Times New Roman" w:hAnsi="Times New Roman" w:cs="Times New Roman"/>
          <w:sz w:val="24"/>
          <w:szCs w:val="28"/>
        </w:rPr>
      </w:pPr>
      <w:r w:rsidRPr="00344843">
        <w:rPr>
          <w:rFonts w:ascii="Times New Roman" w:hAnsi="Times New Roman" w:cs="Times New Roman" w:hint="eastAsia"/>
          <w:sz w:val="24"/>
          <w:szCs w:val="28"/>
        </w:rPr>
        <w:t>All chemicals used in this study were purchased from Aladdin Biochemical Technology Co., Ltd. (Shanghai, China) and were used as received without further purification to ensure the reproducibility and accuracy of th</w:t>
      </w:r>
      <w:r w:rsidRPr="00344843">
        <w:rPr>
          <w:rFonts w:ascii="Times New Roman" w:hAnsi="Times New Roman" w:cs="Times New Roman" w:hint="eastAsia"/>
          <w:sz w:val="24"/>
          <w:szCs w:val="28"/>
        </w:rPr>
        <w:t>e experiments.</w:t>
      </w:r>
    </w:p>
    <w:p w:rsidR="0065273B" w:rsidRPr="00344843" w:rsidRDefault="006570AC">
      <w:pPr>
        <w:spacing w:line="312" w:lineRule="auto"/>
        <w:rPr>
          <w:rFonts w:ascii="Times New Roman" w:hAnsi="Times New Roman" w:cs="Times New Roman"/>
          <w:sz w:val="24"/>
          <w:szCs w:val="28"/>
        </w:rPr>
      </w:pPr>
      <w:r w:rsidRPr="00344843">
        <w:rPr>
          <w:rFonts w:ascii="Times New Roman" w:hAnsi="Times New Roman" w:cs="Times New Roman" w:hint="eastAsia"/>
          <w:i/>
          <w:iCs/>
          <w:sz w:val="24"/>
          <w:szCs w:val="28"/>
        </w:rPr>
        <w:t xml:space="preserve">Preparation of H-NDA: </w:t>
      </w:r>
      <w:r w:rsidRPr="00344843">
        <w:rPr>
          <w:rFonts w:ascii="Times New Roman" w:hAnsi="Times New Roman" w:cs="Times New Roman" w:hint="eastAsia"/>
          <w:sz w:val="24"/>
          <w:szCs w:val="28"/>
        </w:rPr>
        <w:t>In the preparation of H-</w:t>
      </w:r>
      <w:r w:rsidRPr="00344843">
        <w:rPr>
          <w:rFonts w:ascii="Times New Roman" w:hAnsi="Times New Roman" w:cs="Times New Roman" w:hint="eastAsia"/>
          <w:sz w:val="24"/>
          <w:szCs w:val="28"/>
        </w:rPr>
        <w:t>NDA</w:t>
      </w:r>
      <w:r w:rsidRPr="00344843">
        <w:rPr>
          <w:rFonts w:ascii="Times New Roman" w:hAnsi="Times New Roman" w:cs="Times New Roman" w:hint="eastAsia"/>
          <w:sz w:val="24"/>
          <w:szCs w:val="28"/>
        </w:rPr>
        <w:t>, 200 mg of 3</w:t>
      </w:r>
      <w:proofErr w:type="gramStart"/>
      <w:r w:rsidRPr="00344843">
        <w:rPr>
          <w:rFonts w:ascii="Times New Roman" w:hAnsi="Times New Roman" w:cs="Times New Roman" w:hint="eastAsia"/>
          <w:sz w:val="24"/>
          <w:szCs w:val="28"/>
        </w:rPr>
        <w:t>,5</w:t>
      </w:r>
      <w:proofErr w:type="gramEnd"/>
      <w:r w:rsidRPr="00344843">
        <w:rPr>
          <w:rFonts w:ascii="Times New Roman" w:hAnsi="Times New Roman" w:cs="Times New Roman" w:hint="eastAsia"/>
          <w:sz w:val="24"/>
          <w:szCs w:val="28"/>
        </w:rPr>
        <w:t xml:space="preserve">-diamino- 1H-1,2,4-triazole (DAT, 2 </w:t>
      </w:r>
      <w:proofErr w:type="spellStart"/>
      <w:r w:rsidRPr="00344843">
        <w:rPr>
          <w:rFonts w:ascii="Times New Roman" w:hAnsi="Times New Roman" w:cs="Times New Roman" w:hint="eastAsia"/>
          <w:sz w:val="24"/>
          <w:szCs w:val="28"/>
        </w:rPr>
        <w:t>mmol</w:t>
      </w:r>
      <w:proofErr w:type="spellEnd"/>
      <w:r w:rsidRPr="00344843">
        <w:rPr>
          <w:rFonts w:ascii="Times New Roman" w:hAnsi="Times New Roman" w:cs="Times New Roman" w:hint="eastAsia"/>
          <w:sz w:val="24"/>
          <w:szCs w:val="28"/>
        </w:rPr>
        <w:t xml:space="preserve">) was initially dissolved in 10 mL of </w:t>
      </w:r>
      <w:proofErr w:type="spellStart"/>
      <w:r w:rsidRPr="00344843">
        <w:rPr>
          <w:rFonts w:ascii="Times New Roman" w:hAnsi="Times New Roman" w:cs="Times New Roman" w:hint="eastAsia"/>
          <w:sz w:val="24"/>
          <w:szCs w:val="28"/>
        </w:rPr>
        <w:t>dimethylformamide</w:t>
      </w:r>
      <w:proofErr w:type="spellEnd"/>
      <w:r w:rsidRPr="00344843">
        <w:rPr>
          <w:rFonts w:ascii="Times New Roman" w:hAnsi="Times New Roman" w:cs="Times New Roman" w:hint="eastAsia"/>
          <w:sz w:val="24"/>
          <w:szCs w:val="28"/>
        </w:rPr>
        <w:t xml:space="preserve"> (DMF). Once DAT was completely dissolved, the solution was transferred to a </w:t>
      </w:r>
      <w:r w:rsidRPr="00344843">
        <w:rPr>
          <w:rFonts w:ascii="Times New Roman" w:hAnsi="Times New Roman" w:cs="Times New Roman" w:hint="eastAsia"/>
          <w:sz w:val="24"/>
          <w:szCs w:val="28"/>
        </w:rPr>
        <w:t>three-necked flask. Subsequently, 268 mg of 1</w:t>
      </w:r>
      <w:proofErr w:type="gramStart"/>
      <w:r w:rsidRPr="00344843">
        <w:rPr>
          <w:rFonts w:ascii="Times New Roman" w:hAnsi="Times New Roman" w:cs="Times New Roman" w:hint="eastAsia"/>
          <w:sz w:val="24"/>
          <w:szCs w:val="28"/>
        </w:rPr>
        <w:t>,4,5,8</w:t>
      </w:r>
      <w:proofErr w:type="gramEnd"/>
      <w:r w:rsidRPr="00344843">
        <w:rPr>
          <w:rFonts w:ascii="Times New Roman" w:hAnsi="Times New Roman" w:cs="Times New Roman" w:hint="eastAsia"/>
          <w:sz w:val="24"/>
          <w:szCs w:val="28"/>
        </w:rPr>
        <w:t xml:space="preserve">-Naphthalene- </w:t>
      </w:r>
      <w:proofErr w:type="spellStart"/>
      <w:r w:rsidRPr="00344843">
        <w:rPr>
          <w:rFonts w:ascii="Times New Roman" w:hAnsi="Times New Roman" w:cs="Times New Roman" w:hint="eastAsia"/>
          <w:sz w:val="24"/>
          <w:szCs w:val="28"/>
        </w:rPr>
        <w:t>tetracarboxylic</w:t>
      </w:r>
      <w:proofErr w:type="spellEnd"/>
      <w:r w:rsidRPr="00344843">
        <w:rPr>
          <w:rFonts w:ascii="Times New Roman" w:hAnsi="Times New Roman" w:cs="Times New Roman" w:hint="eastAsia"/>
          <w:sz w:val="24"/>
          <w:szCs w:val="28"/>
        </w:rPr>
        <w:t xml:space="preserve"> </w:t>
      </w:r>
      <w:proofErr w:type="spellStart"/>
      <w:r w:rsidRPr="00344843">
        <w:rPr>
          <w:rFonts w:ascii="Times New Roman" w:hAnsi="Times New Roman" w:cs="Times New Roman" w:hint="eastAsia"/>
          <w:sz w:val="24"/>
          <w:szCs w:val="28"/>
        </w:rPr>
        <w:t>dianhydride</w:t>
      </w:r>
      <w:proofErr w:type="spellEnd"/>
      <w:r w:rsidRPr="00344843">
        <w:rPr>
          <w:rFonts w:ascii="Times New Roman" w:hAnsi="Times New Roman" w:cs="Times New Roman" w:hint="eastAsia"/>
          <w:sz w:val="24"/>
          <w:szCs w:val="28"/>
        </w:rPr>
        <w:t xml:space="preserve"> (NTCDA, 1 </w:t>
      </w:r>
      <w:proofErr w:type="spellStart"/>
      <w:r w:rsidRPr="00344843">
        <w:rPr>
          <w:rFonts w:ascii="Times New Roman" w:hAnsi="Times New Roman" w:cs="Times New Roman" w:hint="eastAsia"/>
          <w:sz w:val="24"/>
          <w:szCs w:val="28"/>
        </w:rPr>
        <w:t>mmol</w:t>
      </w:r>
      <w:proofErr w:type="spellEnd"/>
      <w:r w:rsidRPr="00344843">
        <w:rPr>
          <w:rFonts w:ascii="Times New Roman" w:hAnsi="Times New Roman" w:cs="Times New Roman" w:hint="eastAsia"/>
          <w:sz w:val="24"/>
          <w:szCs w:val="28"/>
        </w:rPr>
        <w:t>) was dissolved in 25 mL of DMF, and this solution was slowly added to the three-necked flask using a constant-pressure dropping funnel. The addition</w:t>
      </w:r>
      <w:r w:rsidRPr="00344843">
        <w:rPr>
          <w:rFonts w:ascii="Times New Roman" w:hAnsi="Times New Roman" w:cs="Times New Roman" w:hint="eastAsia"/>
          <w:sz w:val="24"/>
          <w:szCs w:val="28"/>
        </w:rPr>
        <w:t xml:space="preserve"> and stirring were maintained in an ice bath and an </w:t>
      </w:r>
      <w:proofErr w:type="spellStart"/>
      <w:r w:rsidRPr="00344843">
        <w:rPr>
          <w:rFonts w:ascii="Times New Roman" w:hAnsi="Times New Roman" w:cs="Times New Roman" w:hint="eastAsia"/>
          <w:sz w:val="24"/>
          <w:szCs w:val="28"/>
        </w:rPr>
        <w:t>Ar</w:t>
      </w:r>
      <w:proofErr w:type="spellEnd"/>
      <w:r w:rsidRPr="00344843">
        <w:rPr>
          <w:rFonts w:ascii="Times New Roman" w:hAnsi="Times New Roman" w:cs="Times New Roman" w:hint="eastAsia"/>
          <w:sz w:val="24"/>
          <w:szCs w:val="28"/>
        </w:rPr>
        <w:t xml:space="preserve"> gas atmosphere, and continued with magnetic stirring for 30 min to form an orange-yellow transparent solution. This solution was then transferred to a 50 mL reaction vessel and reacted a</w:t>
      </w:r>
      <w:r w:rsidRPr="00344843">
        <w:rPr>
          <w:rFonts w:ascii="Times New Roman" w:hAnsi="Times New Roman" w:cs="Times New Roman"/>
          <w:sz w:val="24"/>
          <w:szCs w:val="28"/>
        </w:rPr>
        <w:t xml:space="preserve">t 160℃ </w:t>
      </w:r>
      <w:r w:rsidRPr="00344843">
        <w:rPr>
          <w:rFonts w:ascii="Times New Roman" w:hAnsi="Times New Roman" w:cs="Times New Roman" w:hint="eastAsia"/>
          <w:sz w:val="24"/>
          <w:szCs w:val="28"/>
        </w:rPr>
        <w:t>for 12 h</w:t>
      </w:r>
      <w:r w:rsidRPr="00344843">
        <w:rPr>
          <w:rFonts w:ascii="Times New Roman" w:hAnsi="Times New Roman" w:cs="Times New Roman" w:hint="eastAsia"/>
          <w:sz w:val="24"/>
          <w:szCs w:val="28"/>
        </w:rPr>
        <w:t>ours. Upon completion of the reaction, the mixture was allowed to cool naturally to room temperature, and the product was collected by centrifugation after multiple washes with DMF, methanol, and deionized water, followed by freeze-drying to obtain H-</w:t>
      </w:r>
      <w:r w:rsidRPr="00344843">
        <w:rPr>
          <w:rFonts w:ascii="Times New Roman" w:hAnsi="Times New Roman" w:cs="Times New Roman" w:hint="eastAsia"/>
          <w:sz w:val="24"/>
          <w:szCs w:val="28"/>
        </w:rPr>
        <w:t>NDA</w:t>
      </w:r>
      <w:r w:rsidRPr="00344843">
        <w:rPr>
          <w:rFonts w:ascii="Times New Roman" w:hAnsi="Times New Roman" w:cs="Times New Roman" w:hint="eastAsia"/>
          <w:sz w:val="24"/>
          <w:szCs w:val="28"/>
        </w:rPr>
        <w:t>.</w:t>
      </w:r>
    </w:p>
    <w:p w:rsidR="0065273B" w:rsidRPr="00344843" w:rsidRDefault="006570AC">
      <w:pPr>
        <w:spacing w:line="312" w:lineRule="auto"/>
        <w:rPr>
          <w:rFonts w:ascii="Times New Roman" w:hAnsi="Times New Roman" w:cs="Times New Roman"/>
          <w:sz w:val="24"/>
          <w:szCs w:val="28"/>
        </w:rPr>
      </w:pPr>
      <w:r w:rsidRPr="00344843">
        <w:rPr>
          <w:rFonts w:ascii="Times New Roman" w:hAnsi="Times New Roman" w:cs="Times New Roman" w:hint="eastAsia"/>
          <w:i/>
          <w:iCs/>
          <w:sz w:val="24"/>
          <w:szCs w:val="28"/>
        </w:rPr>
        <w:t xml:space="preserve">Preparation of H-NDA-G: </w:t>
      </w:r>
      <w:r w:rsidRPr="00344843">
        <w:rPr>
          <w:rFonts w:ascii="Times New Roman" w:hAnsi="Times New Roman" w:cs="Times New Roman" w:hint="eastAsia"/>
          <w:sz w:val="24"/>
          <w:szCs w:val="28"/>
        </w:rPr>
        <w:t>The preparation process for H-NDA-G was similar to that of H-</w:t>
      </w:r>
      <w:r w:rsidRPr="00344843">
        <w:rPr>
          <w:rFonts w:ascii="Times New Roman" w:hAnsi="Times New Roman" w:cs="Times New Roman" w:hint="eastAsia"/>
          <w:sz w:val="24"/>
          <w:szCs w:val="28"/>
        </w:rPr>
        <w:t>NDA</w:t>
      </w:r>
      <w:r w:rsidRPr="00344843">
        <w:rPr>
          <w:rFonts w:ascii="Times New Roman" w:hAnsi="Times New Roman" w:cs="Times New Roman" w:hint="eastAsia"/>
          <w:sz w:val="24"/>
          <w:szCs w:val="28"/>
        </w:rPr>
        <w:t xml:space="preserve">, with the only difference being the addition of an appropriate amount of </w:t>
      </w:r>
      <w:proofErr w:type="spellStart"/>
      <w:r w:rsidRPr="00344843">
        <w:rPr>
          <w:rFonts w:ascii="Times New Roman" w:hAnsi="Times New Roman" w:cs="Times New Roman" w:hint="eastAsia"/>
          <w:sz w:val="24"/>
          <w:szCs w:val="28"/>
        </w:rPr>
        <w:t>graphene</w:t>
      </w:r>
      <w:proofErr w:type="spellEnd"/>
      <w:r w:rsidRPr="00344843">
        <w:rPr>
          <w:rFonts w:ascii="Times New Roman" w:hAnsi="Times New Roman" w:cs="Times New Roman" w:hint="eastAsia"/>
          <w:sz w:val="24"/>
          <w:szCs w:val="28"/>
        </w:rPr>
        <w:t xml:space="preserve"> oxide (GO) solution during the initial stirring process. The amount of GO added was 5</w:t>
      </w:r>
      <w:r w:rsidRPr="00344843">
        <w:rPr>
          <w:rFonts w:ascii="Times New Roman" w:hAnsi="Times New Roman" w:cs="Times New Roman" w:hint="eastAsia"/>
          <w:sz w:val="24"/>
          <w:szCs w:val="28"/>
        </w:rPr>
        <w:t>% of the total mass of the product. The subsequent dissolution heat and freeze-drying methods were the same as those used for the preparation of H-NDA.</w:t>
      </w:r>
      <w:r w:rsidRPr="00344843">
        <w:rPr>
          <w:rFonts w:ascii="Times New Roman" w:hAnsi="Times New Roman" w:cs="Times New Roman"/>
          <w:sz w:val="24"/>
          <w:szCs w:val="28"/>
        </w:rPr>
        <w:t xml:space="preserve"> </w:t>
      </w:r>
    </w:p>
    <w:p w:rsidR="0065273B" w:rsidRPr="00344843" w:rsidRDefault="006570AC">
      <w:pPr>
        <w:spacing w:beforeLines="50" w:before="156" w:afterLines="50" w:after="156"/>
        <w:rPr>
          <w:rFonts w:ascii="Times New Roman" w:hAnsi="Times New Roman" w:cs="Times New Roman"/>
          <w:b/>
          <w:kern w:val="0"/>
          <w:sz w:val="28"/>
          <w:szCs w:val="21"/>
          <w:lang w:eastAsia="en-US"/>
        </w:rPr>
      </w:pPr>
      <w:r w:rsidRPr="00344843">
        <w:rPr>
          <w:rFonts w:ascii="Times New Roman" w:hAnsi="Times New Roman" w:cs="Times New Roman" w:hint="eastAsia"/>
          <w:b/>
          <w:kern w:val="0"/>
          <w:sz w:val="28"/>
          <w:szCs w:val="21"/>
          <w:lang w:eastAsia="en-US"/>
        </w:rPr>
        <w:t xml:space="preserve">Material characterizations: </w:t>
      </w:r>
    </w:p>
    <w:p w:rsidR="0065273B" w:rsidRPr="00344843" w:rsidRDefault="006570AC">
      <w:pPr>
        <w:spacing w:beforeLines="50" w:before="156" w:afterLines="50" w:after="156" w:line="312" w:lineRule="auto"/>
        <w:rPr>
          <w:rFonts w:ascii="Times New Roman" w:hAnsi="Times New Roman" w:cs="Times New Roman"/>
          <w:bCs/>
          <w:kern w:val="0"/>
          <w:sz w:val="24"/>
          <w:szCs w:val="20"/>
          <w:lang w:eastAsia="en-US"/>
        </w:rPr>
      </w:pPr>
      <w:r w:rsidRPr="00344843">
        <w:rPr>
          <w:rFonts w:ascii="Times New Roman" w:hAnsi="Times New Roman" w:cs="Times New Roman"/>
          <w:bCs/>
          <w:kern w:val="0"/>
          <w:sz w:val="24"/>
          <w:szCs w:val="20"/>
          <w:lang w:eastAsia="en-US"/>
        </w:rPr>
        <w:t>Scanning Electron Microscopy (SEM) and Energy Dispersive X-ray Spectroscop</w:t>
      </w:r>
      <w:r w:rsidRPr="00344843">
        <w:rPr>
          <w:rFonts w:ascii="Times New Roman" w:hAnsi="Times New Roman" w:cs="Times New Roman"/>
          <w:bCs/>
          <w:kern w:val="0"/>
          <w:sz w:val="24"/>
          <w:szCs w:val="20"/>
          <w:lang w:eastAsia="en-US"/>
        </w:rPr>
        <w:t>y (EDS) were employed to investigate the morphology and elemental composition of the samples using a JEOL JSM-7100FA field emission scanning electron microscope.</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lastRenderedPageBreak/>
        <w:t xml:space="preserve">Powder X-ray diffraction (XRD) patterns were obtained using a </w:t>
      </w:r>
      <w:proofErr w:type="spellStart"/>
      <w:r w:rsidRPr="00344843">
        <w:rPr>
          <w:rFonts w:ascii="Times New Roman" w:hAnsi="Times New Roman" w:cs="Times New Roman"/>
          <w:bCs/>
          <w:kern w:val="0"/>
          <w:sz w:val="24"/>
          <w:szCs w:val="20"/>
          <w:lang w:eastAsia="en-US"/>
        </w:rPr>
        <w:t>Bruker</w:t>
      </w:r>
      <w:proofErr w:type="spellEnd"/>
      <w:r w:rsidRPr="00344843">
        <w:rPr>
          <w:rFonts w:ascii="Times New Roman" w:hAnsi="Times New Roman" w:cs="Times New Roman"/>
          <w:bCs/>
          <w:kern w:val="0"/>
          <w:sz w:val="24"/>
          <w:szCs w:val="20"/>
          <w:lang w:eastAsia="en-US"/>
        </w:rPr>
        <w:t xml:space="preserve"> D8 Discover X-ray </w:t>
      </w:r>
      <w:proofErr w:type="spellStart"/>
      <w:r w:rsidRPr="00344843">
        <w:rPr>
          <w:rFonts w:ascii="Times New Roman" w:hAnsi="Times New Roman" w:cs="Times New Roman"/>
          <w:bCs/>
          <w:kern w:val="0"/>
          <w:sz w:val="24"/>
          <w:szCs w:val="20"/>
          <w:lang w:eastAsia="en-US"/>
        </w:rPr>
        <w:t>diffrac</w:t>
      </w:r>
      <w:r w:rsidRPr="00344843">
        <w:rPr>
          <w:rFonts w:ascii="Times New Roman" w:hAnsi="Times New Roman" w:cs="Times New Roman"/>
          <w:bCs/>
          <w:kern w:val="0"/>
          <w:sz w:val="24"/>
          <w:szCs w:val="20"/>
          <w:lang w:eastAsia="en-US"/>
        </w:rPr>
        <w:t>tometer</w:t>
      </w:r>
      <w:proofErr w:type="spellEnd"/>
      <w:r w:rsidRPr="00344843">
        <w:rPr>
          <w:rFonts w:ascii="Times New Roman" w:hAnsi="Times New Roman" w:cs="Times New Roman"/>
          <w:bCs/>
          <w:kern w:val="0"/>
          <w:sz w:val="24"/>
          <w:szCs w:val="20"/>
          <w:lang w:eastAsia="en-US"/>
        </w:rPr>
        <w:t xml:space="preserve"> equipped with Cu Kα radiation (λ = 1.5418 Å).</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Thermo</w:t>
      </w:r>
      <w:r w:rsidRPr="00344843">
        <w:rPr>
          <w:rFonts w:ascii="Times New Roman" w:hAnsi="Times New Roman" w:cs="Times New Roman" w:hint="eastAsia"/>
          <w:bCs/>
          <w:kern w:val="0"/>
          <w:sz w:val="24"/>
          <w:szCs w:val="20"/>
        </w:rPr>
        <w:t xml:space="preserve">- </w:t>
      </w:r>
      <w:r w:rsidRPr="00344843">
        <w:rPr>
          <w:rFonts w:ascii="Times New Roman" w:hAnsi="Times New Roman" w:cs="Times New Roman"/>
          <w:bCs/>
          <w:kern w:val="0"/>
          <w:sz w:val="24"/>
          <w:szCs w:val="20"/>
          <w:lang w:eastAsia="en-US"/>
        </w:rPr>
        <w:t xml:space="preserve">gravimetric analysis (TGA) was performed to assess the thermal stability of the materials using a </w:t>
      </w:r>
      <w:proofErr w:type="spellStart"/>
      <w:r w:rsidRPr="00344843">
        <w:rPr>
          <w:rFonts w:ascii="Times New Roman" w:hAnsi="Times New Roman" w:cs="Times New Roman"/>
          <w:bCs/>
          <w:kern w:val="0"/>
          <w:sz w:val="24"/>
          <w:szCs w:val="20"/>
          <w:lang w:eastAsia="en-US"/>
        </w:rPr>
        <w:t>Netzsch</w:t>
      </w:r>
      <w:proofErr w:type="spellEnd"/>
      <w:r w:rsidRPr="00344843">
        <w:rPr>
          <w:rFonts w:ascii="Times New Roman" w:hAnsi="Times New Roman" w:cs="Times New Roman"/>
          <w:bCs/>
          <w:kern w:val="0"/>
          <w:sz w:val="24"/>
          <w:szCs w:val="20"/>
          <w:lang w:eastAsia="en-US"/>
        </w:rPr>
        <w:t xml:space="preserve"> STA 449C simultaneous analysis instrument in air at a heating rate of 10 °C/min from </w:t>
      </w:r>
      <w:r w:rsidRPr="00344843">
        <w:rPr>
          <w:rFonts w:ascii="Times New Roman" w:hAnsi="Times New Roman" w:cs="Times New Roman"/>
          <w:bCs/>
          <w:kern w:val="0"/>
          <w:sz w:val="24"/>
          <w:szCs w:val="20"/>
          <w:lang w:eastAsia="en-US"/>
        </w:rPr>
        <w:t>room temperature to 800°C.</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 xml:space="preserve">Raman spectroscopy measurements were conducted using a Horiba </w:t>
      </w:r>
      <w:proofErr w:type="spellStart"/>
      <w:r w:rsidRPr="00344843">
        <w:rPr>
          <w:rFonts w:ascii="Times New Roman" w:hAnsi="Times New Roman" w:cs="Times New Roman"/>
          <w:bCs/>
          <w:kern w:val="0"/>
          <w:sz w:val="24"/>
          <w:szCs w:val="20"/>
          <w:lang w:eastAsia="en-US"/>
        </w:rPr>
        <w:t>Jobin</w:t>
      </w:r>
      <w:proofErr w:type="spellEnd"/>
      <w:r w:rsidRPr="00344843">
        <w:rPr>
          <w:rFonts w:ascii="Times New Roman" w:hAnsi="Times New Roman" w:cs="Times New Roman"/>
          <w:bCs/>
          <w:kern w:val="0"/>
          <w:sz w:val="24"/>
          <w:szCs w:val="20"/>
          <w:lang w:eastAsia="en-US"/>
        </w:rPr>
        <w:t xml:space="preserve"> </w:t>
      </w:r>
      <w:proofErr w:type="spellStart"/>
      <w:r w:rsidRPr="00344843">
        <w:rPr>
          <w:rFonts w:ascii="Times New Roman" w:hAnsi="Times New Roman" w:cs="Times New Roman"/>
          <w:bCs/>
          <w:kern w:val="0"/>
          <w:sz w:val="24"/>
          <w:szCs w:val="20"/>
          <w:lang w:eastAsia="en-US"/>
        </w:rPr>
        <w:t>Yvon</w:t>
      </w:r>
      <w:proofErr w:type="spellEnd"/>
      <w:r w:rsidRPr="00344843">
        <w:rPr>
          <w:rFonts w:ascii="Times New Roman" w:hAnsi="Times New Roman" w:cs="Times New Roman"/>
          <w:bCs/>
          <w:kern w:val="0"/>
          <w:sz w:val="24"/>
          <w:szCs w:val="20"/>
          <w:lang w:eastAsia="en-US"/>
        </w:rPr>
        <w:t xml:space="preserve"> Lab RAM HR800 Raman spectrometer. Conventional Raman tests employed a 532 nm He-Ne laser for excitation, while in-situ Raman tests were carried out using a </w:t>
      </w:r>
      <w:r w:rsidRPr="00344843">
        <w:rPr>
          <w:rFonts w:ascii="Times New Roman" w:hAnsi="Times New Roman" w:cs="Times New Roman"/>
          <w:bCs/>
          <w:kern w:val="0"/>
          <w:sz w:val="24"/>
          <w:szCs w:val="20"/>
          <w:lang w:eastAsia="en-US"/>
        </w:rPr>
        <w:t>custom-designed in-situ cell with a sapphire window and a perforated Mo foil to enhance electrode contact.</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 xml:space="preserve">In-situ XRD measurements were also performed using a </w:t>
      </w:r>
      <w:proofErr w:type="spellStart"/>
      <w:r w:rsidRPr="00344843">
        <w:rPr>
          <w:rFonts w:ascii="Times New Roman" w:hAnsi="Times New Roman" w:cs="Times New Roman"/>
          <w:bCs/>
          <w:kern w:val="0"/>
          <w:sz w:val="24"/>
          <w:szCs w:val="20"/>
          <w:lang w:eastAsia="en-US"/>
        </w:rPr>
        <w:t>Bruker</w:t>
      </w:r>
      <w:proofErr w:type="spellEnd"/>
      <w:r w:rsidRPr="00344843">
        <w:rPr>
          <w:rFonts w:ascii="Times New Roman" w:hAnsi="Times New Roman" w:cs="Times New Roman"/>
          <w:bCs/>
          <w:kern w:val="0"/>
          <w:sz w:val="24"/>
          <w:szCs w:val="20"/>
          <w:lang w:eastAsia="en-US"/>
        </w:rPr>
        <w:t xml:space="preserve"> D8 Discover X-ray </w:t>
      </w:r>
      <w:proofErr w:type="spellStart"/>
      <w:r w:rsidRPr="00344843">
        <w:rPr>
          <w:rFonts w:ascii="Times New Roman" w:hAnsi="Times New Roman" w:cs="Times New Roman"/>
          <w:bCs/>
          <w:kern w:val="0"/>
          <w:sz w:val="24"/>
          <w:szCs w:val="20"/>
          <w:lang w:eastAsia="en-US"/>
        </w:rPr>
        <w:t>diffractometer</w:t>
      </w:r>
      <w:proofErr w:type="spellEnd"/>
      <w:r w:rsidRPr="00344843">
        <w:rPr>
          <w:rFonts w:ascii="Times New Roman" w:hAnsi="Times New Roman" w:cs="Times New Roman"/>
          <w:bCs/>
          <w:kern w:val="0"/>
          <w:sz w:val="24"/>
          <w:szCs w:val="20"/>
          <w:lang w:eastAsia="en-US"/>
        </w:rPr>
        <w:t>. The instrument utilized a non-monochromatic Cu Kα X-ray</w:t>
      </w:r>
      <w:r w:rsidRPr="00344843">
        <w:rPr>
          <w:rFonts w:ascii="Times New Roman" w:hAnsi="Times New Roman" w:cs="Times New Roman"/>
          <w:bCs/>
          <w:kern w:val="0"/>
          <w:sz w:val="24"/>
          <w:szCs w:val="20"/>
          <w:lang w:eastAsia="en-US"/>
        </w:rPr>
        <w:t xml:space="preserve"> source and scanned in the 2θ range of 19-40°. For in-situ XRD measurements, the electrode was placed behind an X-ray transparent beryllium window that also served as a current collector. In-situ XRD signals were collected using a planar detector in static</w:t>
      </w:r>
      <w:r w:rsidRPr="00344843">
        <w:rPr>
          <w:rFonts w:ascii="Times New Roman" w:hAnsi="Times New Roman" w:cs="Times New Roman"/>
          <w:bCs/>
          <w:kern w:val="0"/>
          <w:sz w:val="24"/>
          <w:szCs w:val="20"/>
          <w:lang w:eastAsia="en-US"/>
        </w:rPr>
        <w:t xml:space="preserve"> mode during charge/discharge, with each pattern acquisition taking 120</w:t>
      </w:r>
      <w:r w:rsidRPr="00344843">
        <w:rPr>
          <w:rFonts w:ascii="Times New Roman" w:hAnsi="Times New Roman" w:cs="Times New Roman" w:hint="eastAsia"/>
          <w:bCs/>
          <w:kern w:val="0"/>
          <w:sz w:val="24"/>
          <w:szCs w:val="20"/>
        </w:rPr>
        <w:t>s</w:t>
      </w:r>
      <w:r w:rsidRPr="00344843">
        <w:rPr>
          <w:rFonts w:ascii="Times New Roman" w:hAnsi="Times New Roman" w:cs="Times New Roman"/>
          <w:bCs/>
          <w:kern w:val="0"/>
          <w:sz w:val="24"/>
          <w:szCs w:val="20"/>
          <w:lang w:eastAsia="en-US"/>
        </w:rPr>
        <w:t>.</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 xml:space="preserve">X-ray photoelectron spectroscopy (XPS) analysis was performed using a VG </w:t>
      </w:r>
      <w:proofErr w:type="spellStart"/>
      <w:r w:rsidRPr="00344843">
        <w:rPr>
          <w:rFonts w:ascii="Times New Roman" w:hAnsi="Times New Roman" w:cs="Times New Roman"/>
          <w:bCs/>
          <w:kern w:val="0"/>
          <w:sz w:val="24"/>
          <w:szCs w:val="20"/>
          <w:lang w:eastAsia="en-US"/>
        </w:rPr>
        <w:t>Multilab</w:t>
      </w:r>
      <w:proofErr w:type="spellEnd"/>
      <w:r w:rsidRPr="00344843">
        <w:rPr>
          <w:rFonts w:ascii="Times New Roman" w:hAnsi="Times New Roman" w:cs="Times New Roman"/>
          <w:bCs/>
          <w:kern w:val="0"/>
          <w:sz w:val="24"/>
          <w:szCs w:val="20"/>
          <w:lang w:eastAsia="en-US"/>
        </w:rPr>
        <w:t xml:space="preserve"> 2000 instrument. All </w:t>
      </w:r>
      <w:r w:rsidRPr="00344843">
        <w:rPr>
          <w:rFonts w:ascii="Times New Roman" w:hAnsi="Times New Roman" w:cs="Times New Roman" w:hint="eastAsia"/>
          <w:bCs/>
          <w:kern w:val="0"/>
          <w:sz w:val="24"/>
          <w:szCs w:val="20"/>
        </w:rPr>
        <w:t>ex</w:t>
      </w:r>
      <w:r w:rsidRPr="00344843">
        <w:rPr>
          <w:rFonts w:ascii="Times New Roman" w:hAnsi="Times New Roman" w:cs="Times New Roman"/>
          <w:bCs/>
          <w:kern w:val="0"/>
          <w:sz w:val="24"/>
          <w:szCs w:val="20"/>
          <w:lang w:eastAsia="en-US"/>
        </w:rPr>
        <w:t xml:space="preserve">-situ tests were conducted in an </w:t>
      </w:r>
      <w:proofErr w:type="spellStart"/>
      <w:r w:rsidRPr="00344843">
        <w:rPr>
          <w:rFonts w:ascii="Times New Roman" w:hAnsi="Times New Roman" w:cs="Times New Roman"/>
          <w:bCs/>
          <w:kern w:val="0"/>
          <w:sz w:val="24"/>
          <w:szCs w:val="20"/>
          <w:lang w:eastAsia="en-US"/>
        </w:rPr>
        <w:t>Ar</w:t>
      </w:r>
      <w:proofErr w:type="spellEnd"/>
      <w:r w:rsidRPr="00344843">
        <w:rPr>
          <w:rFonts w:ascii="Times New Roman" w:hAnsi="Times New Roman" w:cs="Times New Roman"/>
          <w:bCs/>
          <w:kern w:val="0"/>
          <w:sz w:val="24"/>
          <w:szCs w:val="20"/>
          <w:lang w:eastAsia="en-US"/>
        </w:rPr>
        <w:t xml:space="preserve"> atmosphere to avoid exposure to air and m</w:t>
      </w:r>
      <w:r w:rsidRPr="00344843">
        <w:rPr>
          <w:rFonts w:ascii="Times New Roman" w:hAnsi="Times New Roman" w:cs="Times New Roman"/>
          <w:bCs/>
          <w:kern w:val="0"/>
          <w:sz w:val="24"/>
          <w:szCs w:val="20"/>
          <w:lang w:eastAsia="en-US"/>
        </w:rPr>
        <w:t xml:space="preserve">oisture. The samples were disassembled and cleaned in a </w:t>
      </w:r>
      <w:proofErr w:type="spellStart"/>
      <w:r w:rsidRPr="00344843">
        <w:rPr>
          <w:rFonts w:ascii="Times New Roman" w:hAnsi="Times New Roman" w:cs="Times New Roman"/>
          <w:bCs/>
          <w:kern w:val="0"/>
          <w:sz w:val="24"/>
          <w:szCs w:val="20"/>
          <w:lang w:eastAsia="en-US"/>
        </w:rPr>
        <w:t>glovebox</w:t>
      </w:r>
      <w:proofErr w:type="spellEnd"/>
      <w:r w:rsidRPr="00344843">
        <w:rPr>
          <w:rFonts w:ascii="Times New Roman" w:hAnsi="Times New Roman" w:cs="Times New Roman"/>
          <w:bCs/>
          <w:kern w:val="0"/>
          <w:sz w:val="24"/>
          <w:szCs w:val="20"/>
          <w:lang w:eastAsia="en-US"/>
        </w:rPr>
        <w:t xml:space="preserve"> before being transferred to a dedicated </w:t>
      </w:r>
      <w:proofErr w:type="spellStart"/>
      <w:r w:rsidRPr="00344843">
        <w:rPr>
          <w:rFonts w:ascii="Times New Roman" w:hAnsi="Times New Roman" w:cs="Times New Roman"/>
          <w:bCs/>
          <w:kern w:val="0"/>
          <w:sz w:val="24"/>
          <w:szCs w:val="20"/>
          <w:lang w:eastAsia="en-US"/>
        </w:rPr>
        <w:t>glovebox</w:t>
      </w:r>
      <w:proofErr w:type="spellEnd"/>
      <w:r w:rsidRPr="00344843">
        <w:rPr>
          <w:rFonts w:ascii="Times New Roman" w:hAnsi="Times New Roman" w:cs="Times New Roman"/>
          <w:bCs/>
          <w:kern w:val="0"/>
          <w:sz w:val="24"/>
          <w:szCs w:val="20"/>
          <w:lang w:eastAsia="en-US"/>
        </w:rPr>
        <w:t xml:space="preserve"> for sample preparation.</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 xml:space="preserve">Fourier </w:t>
      </w:r>
      <w:proofErr w:type="gramStart"/>
      <w:r w:rsidRPr="00344843">
        <w:rPr>
          <w:rFonts w:ascii="Times New Roman" w:hAnsi="Times New Roman" w:cs="Times New Roman"/>
          <w:bCs/>
          <w:kern w:val="0"/>
          <w:sz w:val="24"/>
          <w:szCs w:val="20"/>
          <w:lang w:eastAsia="en-US"/>
        </w:rPr>
        <w:t>transform</w:t>
      </w:r>
      <w:proofErr w:type="gramEnd"/>
      <w:r w:rsidRPr="00344843">
        <w:rPr>
          <w:rFonts w:ascii="Times New Roman" w:hAnsi="Times New Roman" w:cs="Times New Roman"/>
          <w:bCs/>
          <w:kern w:val="0"/>
          <w:sz w:val="24"/>
          <w:szCs w:val="20"/>
          <w:lang w:eastAsia="en-US"/>
        </w:rPr>
        <w:t xml:space="preserve"> infrared (FT-IR) spectroscopy and corresponding in-situ IR tests were measured using a </w:t>
      </w:r>
      <w:proofErr w:type="spellStart"/>
      <w:r w:rsidRPr="00344843">
        <w:rPr>
          <w:rFonts w:ascii="Times New Roman" w:hAnsi="Times New Roman" w:cs="Times New Roman"/>
          <w:bCs/>
          <w:kern w:val="0"/>
          <w:sz w:val="24"/>
          <w:szCs w:val="20"/>
          <w:lang w:eastAsia="en-US"/>
        </w:rPr>
        <w:t>Nicolt</w:t>
      </w:r>
      <w:proofErr w:type="spellEnd"/>
      <w:r w:rsidRPr="00344843">
        <w:rPr>
          <w:rFonts w:ascii="Times New Roman" w:hAnsi="Times New Roman" w:cs="Times New Roman"/>
          <w:bCs/>
          <w:kern w:val="0"/>
          <w:sz w:val="24"/>
          <w:szCs w:val="20"/>
          <w:lang w:eastAsia="en-US"/>
        </w:rPr>
        <w:t xml:space="preserve"> iS50 F</w:t>
      </w:r>
      <w:r w:rsidRPr="00344843">
        <w:rPr>
          <w:rFonts w:ascii="Times New Roman" w:hAnsi="Times New Roman" w:cs="Times New Roman"/>
          <w:bCs/>
          <w:kern w:val="0"/>
          <w:sz w:val="24"/>
          <w:szCs w:val="20"/>
          <w:lang w:eastAsia="en-US"/>
        </w:rPr>
        <w:t>T-IR spectrometer in attenuated total reflection (ATR) mode.</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 xml:space="preserve">TG-MS-IR tests were performed using </w:t>
      </w:r>
      <w:proofErr w:type="spellStart"/>
      <w:r w:rsidRPr="00344843">
        <w:rPr>
          <w:rFonts w:ascii="Times New Roman" w:hAnsi="Times New Roman" w:cs="Times New Roman"/>
          <w:bCs/>
          <w:kern w:val="0"/>
          <w:sz w:val="24"/>
          <w:szCs w:val="20"/>
          <w:lang w:eastAsia="en-US"/>
        </w:rPr>
        <w:t>Setaram</w:t>
      </w:r>
      <w:proofErr w:type="spellEnd"/>
      <w:r w:rsidRPr="00344843">
        <w:rPr>
          <w:rFonts w:ascii="Times New Roman" w:hAnsi="Times New Roman" w:cs="Times New Roman"/>
          <w:bCs/>
          <w:kern w:val="0"/>
          <w:sz w:val="24"/>
          <w:szCs w:val="20"/>
          <w:lang w:eastAsia="en-US"/>
        </w:rPr>
        <w:t xml:space="preserve"> Evolution 16/18, Pfeiffer Vacuum Omni star, and </w:t>
      </w:r>
      <w:proofErr w:type="spellStart"/>
      <w:r w:rsidRPr="00344843">
        <w:rPr>
          <w:rFonts w:ascii="Times New Roman" w:hAnsi="Times New Roman" w:cs="Times New Roman"/>
          <w:bCs/>
          <w:kern w:val="0"/>
          <w:sz w:val="24"/>
          <w:szCs w:val="20"/>
          <w:lang w:eastAsia="en-US"/>
        </w:rPr>
        <w:t>Bruker</w:t>
      </w:r>
      <w:proofErr w:type="spellEnd"/>
      <w:r w:rsidRPr="00344843">
        <w:rPr>
          <w:rFonts w:ascii="Times New Roman" w:hAnsi="Times New Roman" w:cs="Times New Roman"/>
          <w:bCs/>
          <w:kern w:val="0"/>
          <w:sz w:val="24"/>
          <w:szCs w:val="20"/>
          <w:lang w:eastAsia="en-US"/>
        </w:rPr>
        <w:t xml:space="preserve"> Tensor 27 instruments, respectively.</w:t>
      </w:r>
      <w:r w:rsidRPr="00344843">
        <w:rPr>
          <w:rFonts w:ascii="Times New Roman" w:hAnsi="Times New Roman" w:cs="Times New Roman"/>
          <w:bCs/>
          <w:kern w:val="0"/>
          <w:sz w:val="24"/>
          <w:szCs w:val="20"/>
        </w:rPr>
        <w:t xml:space="preserve"> </w:t>
      </w:r>
      <w:r w:rsidRPr="00344843">
        <w:rPr>
          <w:rFonts w:ascii="Times New Roman" w:hAnsi="Times New Roman" w:cs="Times New Roman"/>
          <w:bCs/>
          <w:kern w:val="0"/>
          <w:sz w:val="24"/>
          <w:szCs w:val="20"/>
          <w:lang w:eastAsia="en-US"/>
        </w:rPr>
        <w:t>Solid-state 13C CP-MAS NMR spectroscopy was carried out usi</w:t>
      </w:r>
      <w:r w:rsidRPr="00344843">
        <w:rPr>
          <w:rFonts w:ascii="Times New Roman" w:hAnsi="Times New Roman" w:cs="Times New Roman"/>
          <w:bCs/>
          <w:kern w:val="0"/>
          <w:sz w:val="24"/>
          <w:szCs w:val="20"/>
          <w:lang w:eastAsia="en-US"/>
        </w:rPr>
        <w:t xml:space="preserve">ng a </w:t>
      </w:r>
      <w:proofErr w:type="spellStart"/>
      <w:r w:rsidRPr="00344843">
        <w:rPr>
          <w:rFonts w:ascii="Times New Roman" w:hAnsi="Times New Roman" w:cs="Times New Roman"/>
          <w:bCs/>
          <w:kern w:val="0"/>
          <w:sz w:val="24"/>
          <w:szCs w:val="20"/>
          <w:lang w:eastAsia="en-US"/>
        </w:rPr>
        <w:t>Bruker</w:t>
      </w:r>
      <w:proofErr w:type="spellEnd"/>
      <w:r w:rsidRPr="00344843">
        <w:rPr>
          <w:rFonts w:ascii="Times New Roman" w:hAnsi="Times New Roman" w:cs="Times New Roman"/>
          <w:bCs/>
          <w:kern w:val="0"/>
          <w:sz w:val="24"/>
          <w:szCs w:val="20"/>
          <w:lang w:eastAsia="en-US"/>
        </w:rPr>
        <w:t xml:space="preserve"> AVANCE III HD 400 MHz NMR spectrometer equipped with a standard 4 mm magic angle spinning (MAS) probe.</w:t>
      </w:r>
    </w:p>
    <w:p w:rsidR="0065273B" w:rsidRPr="00344843" w:rsidRDefault="006570AC">
      <w:pPr>
        <w:spacing w:beforeLines="50" w:before="156" w:afterLines="50" w:after="156"/>
        <w:rPr>
          <w:rFonts w:ascii="Times New Roman" w:hAnsi="Times New Roman" w:cs="Times New Roman"/>
          <w:b/>
          <w:kern w:val="0"/>
          <w:sz w:val="28"/>
          <w:szCs w:val="21"/>
          <w:lang w:eastAsia="en-US"/>
        </w:rPr>
      </w:pPr>
      <w:r w:rsidRPr="00344843">
        <w:rPr>
          <w:rFonts w:ascii="Times New Roman" w:hAnsi="Times New Roman" w:cs="Times New Roman"/>
          <w:b/>
          <w:kern w:val="0"/>
          <w:sz w:val="28"/>
          <w:szCs w:val="21"/>
          <w:lang w:eastAsia="en-US"/>
        </w:rPr>
        <w:t>Electrochemical Measurements</w:t>
      </w:r>
    </w:p>
    <w:p w:rsidR="0065273B" w:rsidRPr="00344843" w:rsidRDefault="006570AC">
      <w:pPr>
        <w:spacing w:beforeLines="50" w:before="156" w:afterLines="50" w:after="156" w:line="312" w:lineRule="auto"/>
        <w:rPr>
          <w:rFonts w:ascii="Times New Roman" w:hAnsi="Times New Roman" w:cs="Times New Roman"/>
          <w:bCs/>
          <w:kern w:val="0"/>
          <w:sz w:val="24"/>
          <w:szCs w:val="20"/>
          <w:lang w:eastAsia="en-US"/>
        </w:rPr>
      </w:pPr>
      <w:r w:rsidRPr="00344843">
        <w:rPr>
          <w:rFonts w:ascii="Times New Roman" w:hAnsi="Times New Roman" w:cs="Times New Roman"/>
          <w:bCs/>
          <w:kern w:val="0"/>
          <w:sz w:val="24"/>
          <w:szCs w:val="20"/>
          <w:lang w:eastAsia="en-US"/>
        </w:rPr>
        <w:t xml:space="preserve">Working electrodes were prepared by mixing H-NDA or H-NDA-G, Super P, and </w:t>
      </w:r>
      <w:proofErr w:type="spellStart"/>
      <w:r w:rsidRPr="00344843">
        <w:rPr>
          <w:rFonts w:ascii="Times New Roman" w:hAnsi="Times New Roman" w:cs="Times New Roman"/>
          <w:bCs/>
          <w:kern w:val="0"/>
          <w:sz w:val="24"/>
          <w:szCs w:val="20"/>
          <w:lang w:eastAsia="en-US"/>
        </w:rPr>
        <w:t>polyvinylidene</w:t>
      </w:r>
      <w:proofErr w:type="spellEnd"/>
      <w:r w:rsidRPr="00344843">
        <w:rPr>
          <w:rFonts w:ascii="Times New Roman" w:hAnsi="Times New Roman" w:cs="Times New Roman"/>
          <w:bCs/>
          <w:kern w:val="0"/>
          <w:sz w:val="24"/>
          <w:szCs w:val="20"/>
          <w:lang w:eastAsia="en-US"/>
        </w:rPr>
        <w:t xml:space="preserve"> fluoride (PVDF) binder </w:t>
      </w:r>
      <w:r w:rsidRPr="00344843">
        <w:rPr>
          <w:rFonts w:ascii="Times New Roman" w:hAnsi="Times New Roman" w:cs="Times New Roman"/>
          <w:bCs/>
          <w:kern w:val="0"/>
          <w:sz w:val="24"/>
          <w:szCs w:val="20"/>
          <w:lang w:eastAsia="en-US"/>
        </w:rPr>
        <w:t xml:space="preserve">in a weight ratio of 6:3:1. The mixture was dispersed in N-methyl-2-pyrrolidone (NMP) to form </w:t>
      </w:r>
      <w:proofErr w:type="gramStart"/>
      <w:r w:rsidRPr="00344843">
        <w:rPr>
          <w:rFonts w:ascii="Times New Roman" w:hAnsi="Times New Roman" w:cs="Times New Roman"/>
          <w:bCs/>
          <w:kern w:val="0"/>
          <w:sz w:val="24"/>
          <w:szCs w:val="20"/>
          <w:lang w:eastAsia="en-US"/>
        </w:rPr>
        <w:t>a uniform</w:t>
      </w:r>
      <w:proofErr w:type="gramEnd"/>
      <w:r w:rsidRPr="00344843">
        <w:rPr>
          <w:rFonts w:ascii="Times New Roman" w:hAnsi="Times New Roman" w:cs="Times New Roman"/>
          <w:bCs/>
          <w:kern w:val="0"/>
          <w:sz w:val="24"/>
          <w:szCs w:val="20"/>
          <w:lang w:eastAsia="en-US"/>
        </w:rPr>
        <w:t xml:space="preserve"> slurry, which was then coated onto </w:t>
      </w:r>
      <w:r w:rsidRPr="00344843">
        <w:rPr>
          <w:rFonts w:ascii="Times New Roman" w:hAnsi="Times New Roman" w:cs="Times New Roman" w:hint="eastAsia"/>
          <w:bCs/>
          <w:kern w:val="0"/>
          <w:sz w:val="24"/>
          <w:szCs w:val="20"/>
        </w:rPr>
        <w:t>Al</w:t>
      </w:r>
      <w:r w:rsidRPr="00344843">
        <w:rPr>
          <w:rFonts w:ascii="Times New Roman" w:hAnsi="Times New Roman" w:cs="Times New Roman"/>
          <w:bCs/>
          <w:kern w:val="0"/>
          <w:sz w:val="24"/>
          <w:szCs w:val="20"/>
          <w:lang w:eastAsia="en-US"/>
        </w:rPr>
        <w:t xml:space="preserve"> foil. The coated </w:t>
      </w:r>
      <w:r w:rsidRPr="00344843">
        <w:rPr>
          <w:rFonts w:ascii="Times New Roman" w:hAnsi="Times New Roman" w:cs="Times New Roman" w:hint="eastAsia"/>
          <w:bCs/>
          <w:kern w:val="0"/>
          <w:sz w:val="24"/>
          <w:szCs w:val="20"/>
        </w:rPr>
        <w:t>Al</w:t>
      </w:r>
      <w:r w:rsidRPr="00344843">
        <w:rPr>
          <w:rFonts w:ascii="Times New Roman" w:hAnsi="Times New Roman" w:cs="Times New Roman"/>
          <w:bCs/>
          <w:kern w:val="0"/>
          <w:sz w:val="24"/>
          <w:szCs w:val="20"/>
          <w:lang w:eastAsia="en-US"/>
        </w:rPr>
        <w:t xml:space="preserve"> foil was dried in a vacuum oven at 70 °C and then cut into electrode disks with a diameter of </w:t>
      </w:r>
      <w:r w:rsidRPr="00344843">
        <w:rPr>
          <w:rFonts w:ascii="Times New Roman" w:hAnsi="Times New Roman" w:cs="Times New Roman"/>
          <w:bCs/>
          <w:kern w:val="0"/>
          <w:sz w:val="24"/>
          <w:szCs w:val="20"/>
          <w:lang w:eastAsia="en-US"/>
        </w:rPr>
        <w:t>10 mm. The average mass loading of the active material was controlled to be ~1 mg cm</w:t>
      </w:r>
      <w:r w:rsidRPr="00344843">
        <w:rPr>
          <w:rFonts w:ascii="Times New Roman" w:hAnsi="Times New Roman" w:cs="Times New Roman"/>
          <w:bCs/>
          <w:kern w:val="0"/>
          <w:sz w:val="24"/>
          <w:szCs w:val="20"/>
          <w:vertAlign w:val="superscript"/>
          <w:lang w:eastAsia="en-US"/>
        </w:rPr>
        <w:t>-2</w:t>
      </w:r>
      <w:r w:rsidRPr="00344843">
        <w:rPr>
          <w:rFonts w:ascii="Times New Roman" w:hAnsi="Times New Roman" w:cs="Times New Roman"/>
          <w:bCs/>
          <w:kern w:val="0"/>
          <w:sz w:val="24"/>
          <w:szCs w:val="20"/>
          <w:lang w:eastAsia="en-US"/>
        </w:rPr>
        <w:t>.</w:t>
      </w:r>
    </w:p>
    <w:p w:rsidR="0065273B" w:rsidRPr="00344843" w:rsidRDefault="006570AC">
      <w:pPr>
        <w:spacing w:beforeLines="50" w:before="156" w:afterLines="50" w:after="156" w:line="312" w:lineRule="auto"/>
        <w:rPr>
          <w:rFonts w:ascii="Times New Roman" w:hAnsi="Times New Roman" w:cs="Times New Roman"/>
          <w:b/>
          <w:kern w:val="0"/>
          <w:sz w:val="28"/>
          <w:szCs w:val="21"/>
          <w:lang w:eastAsia="en-US"/>
        </w:rPr>
      </w:pPr>
      <w:r w:rsidRPr="00344843">
        <w:rPr>
          <w:rFonts w:ascii="Times New Roman" w:hAnsi="Times New Roman" w:cs="Times New Roman"/>
          <w:bCs/>
          <w:kern w:val="0"/>
          <w:sz w:val="24"/>
          <w:szCs w:val="20"/>
          <w:lang w:eastAsia="en-US"/>
        </w:rPr>
        <w:lastRenderedPageBreak/>
        <w:t xml:space="preserve">Battery assembly was carried out in a </w:t>
      </w:r>
      <w:proofErr w:type="spellStart"/>
      <w:r w:rsidRPr="00344843">
        <w:rPr>
          <w:rFonts w:ascii="Times New Roman" w:hAnsi="Times New Roman" w:cs="Times New Roman"/>
          <w:bCs/>
          <w:kern w:val="0"/>
          <w:sz w:val="24"/>
          <w:szCs w:val="20"/>
          <w:lang w:eastAsia="en-US"/>
        </w:rPr>
        <w:t>glovebox</w:t>
      </w:r>
      <w:proofErr w:type="spellEnd"/>
      <w:r w:rsidRPr="00344843">
        <w:rPr>
          <w:rFonts w:ascii="Times New Roman" w:hAnsi="Times New Roman" w:cs="Times New Roman"/>
          <w:bCs/>
          <w:kern w:val="0"/>
          <w:sz w:val="24"/>
          <w:szCs w:val="20"/>
          <w:lang w:eastAsia="en-US"/>
        </w:rPr>
        <w:t xml:space="preserve"> with </w:t>
      </w:r>
      <w:r w:rsidRPr="00344843">
        <w:rPr>
          <w:rFonts w:ascii="Times New Roman" w:hAnsi="Times New Roman" w:cs="Times New Roman" w:hint="eastAsia"/>
          <w:bCs/>
          <w:kern w:val="0"/>
          <w:sz w:val="24"/>
          <w:szCs w:val="20"/>
        </w:rPr>
        <w:t>O</w:t>
      </w:r>
      <w:r w:rsidRPr="00344843">
        <w:rPr>
          <w:rFonts w:ascii="Times New Roman" w:hAnsi="Times New Roman" w:cs="Times New Roman" w:hint="eastAsia"/>
          <w:bCs/>
          <w:kern w:val="0"/>
          <w:sz w:val="24"/>
          <w:szCs w:val="20"/>
          <w:vertAlign w:val="subscript"/>
        </w:rPr>
        <w:t>2</w:t>
      </w:r>
      <w:r w:rsidRPr="00344843">
        <w:rPr>
          <w:rFonts w:ascii="Times New Roman" w:hAnsi="Times New Roman" w:cs="Times New Roman"/>
          <w:bCs/>
          <w:kern w:val="0"/>
          <w:sz w:val="24"/>
          <w:szCs w:val="20"/>
          <w:lang w:eastAsia="en-US"/>
        </w:rPr>
        <w:t xml:space="preserve"> and </w:t>
      </w:r>
      <w:r w:rsidRPr="00344843">
        <w:rPr>
          <w:rFonts w:ascii="Times New Roman" w:hAnsi="Times New Roman" w:cs="Times New Roman" w:hint="eastAsia"/>
          <w:bCs/>
          <w:kern w:val="0"/>
          <w:sz w:val="24"/>
          <w:szCs w:val="20"/>
        </w:rPr>
        <w:t>H</w:t>
      </w:r>
      <w:r w:rsidRPr="00344843">
        <w:rPr>
          <w:rFonts w:ascii="Times New Roman" w:hAnsi="Times New Roman" w:cs="Times New Roman" w:hint="eastAsia"/>
          <w:bCs/>
          <w:kern w:val="0"/>
          <w:sz w:val="24"/>
          <w:szCs w:val="20"/>
          <w:vertAlign w:val="subscript"/>
        </w:rPr>
        <w:t>2</w:t>
      </w:r>
      <w:r w:rsidRPr="00344843">
        <w:rPr>
          <w:rFonts w:ascii="Times New Roman" w:hAnsi="Times New Roman" w:cs="Times New Roman" w:hint="eastAsia"/>
          <w:bCs/>
          <w:kern w:val="0"/>
          <w:sz w:val="24"/>
          <w:szCs w:val="20"/>
        </w:rPr>
        <w:t>O</w:t>
      </w:r>
      <w:r w:rsidRPr="00344843">
        <w:rPr>
          <w:rFonts w:ascii="Times New Roman" w:hAnsi="Times New Roman" w:cs="Times New Roman"/>
          <w:bCs/>
          <w:kern w:val="0"/>
          <w:sz w:val="24"/>
          <w:szCs w:val="20"/>
          <w:lang w:eastAsia="en-US"/>
        </w:rPr>
        <w:t xml:space="preserve"> below 0.01 PPM. Standard CR2016 coin-type batteries were assembled using the active electrode as the working electrode, </w:t>
      </w:r>
      <w:proofErr w:type="spellStart"/>
      <w:r w:rsidRPr="00344843">
        <w:rPr>
          <w:rFonts w:ascii="Times New Roman" w:hAnsi="Times New Roman" w:cs="Times New Roman"/>
          <w:bCs/>
          <w:kern w:val="0"/>
          <w:sz w:val="24"/>
          <w:szCs w:val="20"/>
          <w:lang w:eastAsia="en-US"/>
        </w:rPr>
        <w:t>Whatman</w:t>
      </w:r>
      <w:proofErr w:type="spellEnd"/>
      <w:r w:rsidRPr="00344843">
        <w:rPr>
          <w:rFonts w:ascii="Times New Roman" w:hAnsi="Times New Roman" w:cs="Times New Roman"/>
          <w:bCs/>
          <w:kern w:val="0"/>
          <w:sz w:val="24"/>
          <w:szCs w:val="20"/>
          <w:lang w:eastAsia="en-US"/>
        </w:rPr>
        <w:t xml:space="preserve"> glass fiber (GF/D) as the separator, and a freshly cut piece of </w:t>
      </w:r>
      <w:r w:rsidRPr="00344843">
        <w:rPr>
          <w:rFonts w:ascii="Times New Roman" w:hAnsi="Times New Roman" w:cs="Times New Roman" w:hint="eastAsia"/>
          <w:bCs/>
          <w:kern w:val="0"/>
          <w:sz w:val="24"/>
          <w:szCs w:val="20"/>
        </w:rPr>
        <w:t>K</w:t>
      </w:r>
      <w:r w:rsidRPr="00344843">
        <w:rPr>
          <w:rFonts w:ascii="Times New Roman" w:hAnsi="Times New Roman" w:cs="Times New Roman"/>
          <w:bCs/>
          <w:kern w:val="0"/>
          <w:sz w:val="24"/>
          <w:szCs w:val="20"/>
          <w:lang w:eastAsia="en-US"/>
        </w:rPr>
        <w:t xml:space="preserve"> metal as the reference electrode. 5M KFSI in DME was used as </w:t>
      </w:r>
      <w:r w:rsidRPr="00344843">
        <w:rPr>
          <w:rFonts w:ascii="Times New Roman" w:hAnsi="Times New Roman" w:cs="Times New Roman"/>
          <w:bCs/>
          <w:kern w:val="0"/>
          <w:sz w:val="24"/>
          <w:szCs w:val="20"/>
          <w:lang w:eastAsia="en-US"/>
        </w:rPr>
        <w:t>the electrolyte.</w:t>
      </w:r>
      <w:r w:rsidRPr="00344843">
        <w:rPr>
          <w:rFonts w:ascii="Times New Roman" w:hAnsi="Times New Roman" w:cs="Times New Roman" w:hint="eastAsia"/>
          <w:bCs/>
          <w:kern w:val="0"/>
          <w:sz w:val="24"/>
          <w:szCs w:val="20"/>
        </w:rPr>
        <w:t xml:space="preserve"> </w:t>
      </w:r>
      <w:r w:rsidRPr="00344843">
        <w:rPr>
          <w:rFonts w:ascii="Times New Roman" w:hAnsi="Times New Roman" w:cs="Times New Roman"/>
          <w:bCs/>
          <w:kern w:val="0"/>
          <w:sz w:val="24"/>
          <w:szCs w:val="20"/>
          <w:lang w:eastAsia="en-US"/>
        </w:rPr>
        <w:t>The assembled batteries were subjected to constant current charge/discharge tests using a multi-channel battery testing system (</w:t>
      </w:r>
      <w:proofErr w:type="spellStart"/>
      <w:r w:rsidRPr="00344843">
        <w:rPr>
          <w:rFonts w:ascii="Times New Roman" w:hAnsi="Times New Roman" w:cs="Times New Roman"/>
          <w:bCs/>
          <w:kern w:val="0"/>
          <w:sz w:val="24"/>
          <w:szCs w:val="20"/>
          <w:lang w:eastAsia="en-US"/>
        </w:rPr>
        <w:t>Neware</w:t>
      </w:r>
      <w:proofErr w:type="spellEnd"/>
      <w:r w:rsidRPr="00344843">
        <w:rPr>
          <w:rFonts w:ascii="Times New Roman" w:hAnsi="Times New Roman" w:cs="Times New Roman"/>
          <w:bCs/>
          <w:kern w:val="0"/>
          <w:sz w:val="24"/>
          <w:szCs w:val="20"/>
          <w:lang w:eastAsia="en-US"/>
        </w:rPr>
        <w:t xml:space="preserve"> BTS-4008-5V50mA) between 1.5 and 3.8 V.</w:t>
      </w:r>
      <w:r w:rsidRPr="00344843">
        <w:rPr>
          <w:rFonts w:ascii="Times New Roman" w:hAnsi="Times New Roman" w:cs="Times New Roman" w:hint="eastAsia"/>
          <w:bCs/>
          <w:kern w:val="0"/>
          <w:sz w:val="24"/>
          <w:szCs w:val="20"/>
        </w:rPr>
        <w:t xml:space="preserve"> </w:t>
      </w:r>
      <w:r w:rsidRPr="00344843">
        <w:rPr>
          <w:rFonts w:ascii="Times New Roman" w:hAnsi="Times New Roman" w:cs="Times New Roman"/>
          <w:bCs/>
          <w:kern w:val="0"/>
          <w:sz w:val="24"/>
          <w:szCs w:val="20"/>
          <w:lang w:eastAsia="en-US"/>
        </w:rPr>
        <w:t>CV and EIS measurements were performed at room temperature using</w:t>
      </w:r>
      <w:r w:rsidRPr="00344843">
        <w:rPr>
          <w:rFonts w:ascii="Times New Roman" w:hAnsi="Times New Roman" w:cs="Times New Roman"/>
          <w:bCs/>
          <w:kern w:val="0"/>
          <w:sz w:val="24"/>
          <w:szCs w:val="20"/>
          <w:lang w:eastAsia="en-US"/>
        </w:rPr>
        <w:t xml:space="preserve"> electrochemical workstations (CHI760E and </w:t>
      </w:r>
      <w:proofErr w:type="spellStart"/>
      <w:r w:rsidRPr="00344843">
        <w:rPr>
          <w:rFonts w:ascii="Times New Roman" w:hAnsi="Times New Roman" w:cs="Times New Roman"/>
          <w:bCs/>
          <w:kern w:val="0"/>
          <w:sz w:val="24"/>
          <w:szCs w:val="20"/>
          <w:lang w:eastAsia="en-US"/>
        </w:rPr>
        <w:t>BioLogic</w:t>
      </w:r>
      <w:proofErr w:type="spellEnd"/>
      <w:r w:rsidRPr="00344843">
        <w:rPr>
          <w:rFonts w:ascii="Times New Roman" w:hAnsi="Times New Roman" w:cs="Times New Roman"/>
          <w:bCs/>
          <w:kern w:val="0"/>
          <w:sz w:val="24"/>
          <w:szCs w:val="20"/>
          <w:lang w:eastAsia="en-US"/>
        </w:rPr>
        <w:t xml:space="preserve"> EC Lab electrochemical workstation).</w:t>
      </w:r>
      <w:r w:rsidRPr="00344843">
        <w:rPr>
          <w:rFonts w:ascii="Times New Roman" w:hAnsi="Times New Roman" w:cs="Times New Roman"/>
        </w:rPr>
        <w:t xml:space="preserve">  </w:t>
      </w:r>
    </w:p>
    <w:p w:rsidR="0065273B" w:rsidRPr="00344843" w:rsidRDefault="006570AC">
      <w:pPr>
        <w:spacing w:beforeLines="50" w:before="156" w:afterLines="50" w:after="156"/>
        <w:rPr>
          <w:rFonts w:ascii="Times New Roman" w:hAnsi="Times New Roman" w:cs="Times New Roman"/>
          <w:b/>
          <w:kern w:val="0"/>
          <w:sz w:val="28"/>
          <w:szCs w:val="21"/>
          <w:lang w:eastAsia="en-US"/>
        </w:rPr>
      </w:pPr>
      <w:r w:rsidRPr="00344843">
        <w:rPr>
          <w:rFonts w:ascii="Times New Roman" w:hAnsi="Times New Roman" w:cs="Times New Roman" w:hint="eastAsia"/>
          <w:b/>
          <w:kern w:val="0"/>
          <w:sz w:val="28"/>
          <w:szCs w:val="21"/>
          <w:lang w:eastAsia="en-US"/>
        </w:rPr>
        <w:t>Computational Methods</w:t>
      </w:r>
    </w:p>
    <w:p w:rsidR="0065273B" w:rsidRPr="00344843" w:rsidRDefault="006570AC">
      <w:pPr>
        <w:spacing w:beforeLines="50" w:before="156" w:afterLines="50" w:after="156" w:line="312" w:lineRule="auto"/>
        <w:rPr>
          <w:rFonts w:ascii="Times New Roman" w:hAnsi="Times New Roman" w:cs="Times New Roman"/>
        </w:rPr>
      </w:pPr>
      <w:r w:rsidRPr="00344843">
        <w:rPr>
          <w:rFonts w:ascii="Times New Roman" w:hAnsi="Times New Roman" w:cs="Times New Roman"/>
          <w:bCs/>
          <w:kern w:val="0"/>
          <w:sz w:val="24"/>
          <w:szCs w:val="20"/>
          <w:lang w:eastAsia="en-US"/>
        </w:rPr>
        <w:t>The diffusion of K</w:t>
      </w:r>
      <w:r w:rsidRPr="00344843">
        <w:rPr>
          <w:rFonts w:ascii="Times New Roman" w:hAnsi="Times New Roman" w:cs="Times New Roman"/>
          <w:bCs/>
          <w:kern w:val="0"/>
          <w:sz w:val="24"/>
          <w:szCs w:val="20"/>
          <w:vertAlign w:val="superscript"/>
          <w:lang w:eastAsia="en-US"/>
        </w:rPr>
        <w:t>+</w:t>
      </w:r>
      <w:r w:rsidRPr="00344843">
        <w:rPr>
          <w:rFonts w:ascii="Times New Roman" w:hAnsi="Times New Roman" w:cs="Times New Roman"/>
          <w:bCs/>
          <w:kern w:val="0"/>
          <w:sz w:val="24"/>
          <w:szCs w:val="20"/>
          <w:lang w:eastAsia="en-US"/>
        </w:rPr>
        <w:t xml:space="preserve"> in </w:t>
      </w:r>
      <w:r w:rsidRPr="00344843">
        <w:rPr>
          <w:rFonts w:ascii="Times New Roman" w:hAnsi="Times New Roman" w:cs="Times New Roman" w:hint="eastAsia"/>
          <w:bCs/>
          <w:kern w:val="0"/>
          <w:sz w:val="24"/>
          <w:szCs w:val="20"/>
        </w:rPr>
        <w:t>H-NDA</w:t>
      </w:r>
      <w:r w:rsidRPr="00344843">
        <w:rPr>
          <w:rFonts w:ascii="Times New Roman" w:hAnsi="Times New Roman" w:cs="Times New Roman"/>
          <w:bCs/>
          <w:kern w:val="0"/>
          <w:sz w:val="24"/>
          <w:szCs w:val="20"/>
          <w:lang w:eastAsia="en-US"/>
        </w:rPr>
        <w:t xml:space="preserve"> and </w:t>
      </w:r>
      <w:r w:rsidRPr="00344843">
        <w:rPr>
          <w:rFonts w:ascii="Times New Roman" w:hAnsi="Times New Roman" w:cs="Times New Roman" w:hint="eastAsia"/>
          <w:bCs/>
          <w:kern w:val="0"/>
          <w:sz w:val="24"/>
          <w:szCs w:val="20"/>
        </w:rPr>
        <w:t>H-NDA-G</w:t>
      </w:r>
      <w:r w:rsidRPr="00344843">
        <w:rPr>
          <w:rFonts w:ascii="Times New Roman" w:hAnsi="Times New Roman" w:cs="Times New Roman"/>
          <w:bCs/>
          <w:kern w:val="0"/>
          <w:sz w:val="24"/>
          <w:szCs w:val="20"/>
          <w:lang w:eastAsia="en-US"/>
        </w:rPr>
        <w:t xml:space="preserve"> composites was investigated using first-principles density-functional theory (DFT) calculations. The D</w:t>
      </w:r>
      <w:r w:rsidRPr="00344843">
        <w:rPr>
          <w:rFonts w:ascii="Times New Roman" w:hAnsi="Times New Roman" w:cs="Times New Roman"/>
          <w:bCs/>
          <w:kern w:val="0"/>
          <w:sz w:val="24"/>
          <w:szCs w:val="20"/>
          <w:lang w:eastAsia="en-US"/>
        </w:rPr>
        <w:t xml:space="preserve">Mol3 module within Materials Studio was employed for these calculations. The </w:t>
      </w:r>
      <w:proofErr w:type="spellStart"/>
      <w:r w:rsidRPr="00344843">
        <w:rPr>
          <w:rFonts w:ascii="Times New Roman" w:hAnsi="Times New Roman" w:cs="Times New Roman"/>
          <w:bCs/>
          <w:kern w:val="0"/>
          <w:sz w:val="24"/>
          <w:szCs w:val="20"/>
          <w:lang w:eastAsia="en-US"/>
        </w:rPr>
        <w:t>Perdew</w:t>
      </w:r>
      <w:proofErr w:type="spellEnd"/>
      <w:r w:rsidRPr="00344843">
        <w:rPr>
          <w:rFonts w:ascii="Times New Roman" w:hAnsi="Times New Roman" w:cs="Times New Roman"/>
          <w:bCs/>
          <w:kern w:val="0"/>
          <w:sz w:val="24"/>
          <w:szCs w:val="20"/>
          <w:lang w:eastAsia="en-US"/>
        </w:rPr>
        <w:t>-Burke-</w:t>
      </w:r>
      <w:proofErr w:type="spellStart"/>
      <w:r w:rsidRPr="00344843">
        <w:rPr>
          <w:rFonts w:ascii="Times New Roman" w:hAnsi="Times New Roman" w:cs="Times New Roman"/>
          <w:bCs/>
          <w:kern w:val="0"/>
          <w:sz w:val="24"/>
          <w:szCs w:val="20"/>
          <w:lang w:eastAsia="en-US"/>
        </w:rPr>
        <w:t>Ernzerhof</w:t>
      </w:r>
      <w:proofErr w:type="spellEnd"/>
      <w:r w:rsidRPr="00344843">
        <w:rPr>
          <w:rFonts w:ascii="Times New Roman" w:hAnsi="Times New Roman" w:cs="Times New Roman"/>
          <w:bCs/>
          <w:kern w:val="0"/>
          <w:sz w:val="24"/>
          <w:szCs w:val="20"/>
          <w:lang w:eastAsia="en-US"/>
        </w:rPr>
        <w:t xml:space="preserve"> (PBE) functional with the generalized gradient approximation (GGA) was used to describe the electron exchange-correlation interactions. All-electron double </w:t>
      </w:r>
      <w:r w:rsidRPr="00344843">
        <w:rPr>
          <w:rFonts w:ascii="Times New Roman" w:hAnsi="Times New Roman" w:cs="Times New Roman"/>
          <w:bCs/>
          <w:kern w:val="0"/>
          <w:sz w:val="24"/>
          <w:szCs w:val="20"/>
          <w:lang w:eastAsia="en-US"/>
        </w:rPr>
        <w:t>numerical atomic orbitals augmented with a dispersion term (DND) served as the basis set, and all electrons were explicitly treated for all atoms. The nudged elastic band (NEB) method was utilized to study the K</w:t>
      </w:r>
      <w:r w:rsidRPr="00344843">
        <w:rPr>
          <w:rFonts w:ascii="Times New Roman" w:hAnsi="Times New Roman" w:cs="Times New Roman"/>
          <w:bCs/>
          <w:kern w:val="0"/>
          <w:sz w:val="24"/>
          <w:szCs w:val="20"/>
          <w:vertAlign w:val="superscript"/>
          <w:lang w:eastAsia="en-US"/>
        </w:rPr>
        <w:t xml:space="preserve">+ </w:t>
      </w:r>
      <w:r w:rsidRPr="00344843">
        <w:rPr>
          <w:rFonts w:ascii="Times New Roman" w:hAnsi="Times New Roman" w:cs="Times New Roman"/>
          <w:bCs/>
          <w:kern w:val="0"/>
          <w:sz w:val="24"/>
          <w:szCs w:val="20"/>
          <w:lang w:eastAsia="en-US"/>
        </w:rPr>
        <w:t>diffusion pathway. Convergence criteria wer</w:t>
      </w:r>
      <w:r w:rsidRPr="00344843">
        <w:rPr>
          <w:rFonts w:ascii="Times New Roman" w:hAnsi="Times New Roman" w:cs="Times New Roman"/>
          <w:bCs/>
          <w:kern w:val="0"/>
          <w:sz w:val="24"/>
          <w:szCs w:val="20"/>
          <w:lang w:eastAsia="en-US"/>
        </w:rPr>
        <w:t>e set to 10</w:t>
      </w:r>
      <w:r w:rsidRPr="00344843">
        <w:rPr>
          <w:rFonts w:ascii="Times New Roman" w:hAnsi="Times New Roman" w:cs="Times New Roman"/>
          <w:bCs/>
          <w:kern w:val="0"/>
          <w:sz w:val="24"/>
          <w:szCs w:val="20"/>
          <w:vertAlign w:val="superscript"/>
          <w:lang w:eastAsia="en-US"/>
        </w:rPr>
        <w:t>-5</w:t>
      </w:r>
      <w:r w:rsidRPr="00344843">
        <w:rPr>
          <w:rFonts w:ascii="Times New Roman" w:hAnsi="Times New Roman" w:cs="Times New Roman"/>
          <w:bCs/>
          <w:kern w:val="0"/>
          <w:sz w:val="24"/>
          <w:szCs w:val="20"/>
          <w:lang w:eastAsia="en-US"/>
        </w:rPr>
        <w:t xml:space="preserve"> </w:t>
      </w:r>
      <w:proofErr w:type="spellStart"/>
      <w:r w:rsidRPr="00344843">
        <w:rPr>
          <w:rFonts w:ascii="Times New Roman" w:hAnsi="Times New Roman" w:cs="Times New Roman"/>
          <w:bCs/>
          <w:kern w:val="0"/>
          <w:sz w:val="24"/>
          <w:szCs w:val="20"/>
          <w:lang w:eastAsia="en-US"/>
        </w:rPr>
        <w:t>Hartree</w:t>
      </w:r>
      <w:proofErr w:type="spellEnd"/>
      <w:r w:rsidRPr="00344843">
        <w:rPr>
          <w:rFonts w:ascii="Times New Roman" w:hAnsi="Times New Roman" w:cs="Times New Roman"/>
          <w:bCs/>
          <w:kern w:val="0"/>
          <w:sz w:val="24"/>
          <w:szCs w:val="20"/>
          <w:lang w:eastAsia="en-US"/>
        </w:rPr>
        <w:t xml:space="preserve"> for total energy, 0.002 </w:t>
      </w:r>
      <w:proofErr w:type="spellStart"/>
      <w:r w:rsidRPr="00344843">
        <w:rPr>
          <w:rFonts w:ascii="Times New Roman" w:hAnsi="Times New Roman" w:cs="Times New Roman"/>
          <w:bCs/>
          <w:kern w:val="0"/>
          <w:sz w:val="24"/>
          <w:szCs w:val="20"/>
          <w:lang w:eastAsia="en-US"/>
        </w:rPr>
        <w:t>Hartree</w:t>
      </w:r>
      <w:proofErr w:type="spellEnd"/>
      <w:r w:rsidRPr="00344843">
        <w:rPr>
          <w:rFonts w:ascii="Times New Roman" w:hAnsi="Times New Roman" w:cs="Times New Roman"/>
          <w:bCs/>
          <w:kern w:val="0"/>
          <w:sz w:val="24"/>
          <w:szCs w:val="20"/>
          <w:lang w:eastAsia="en-US"/>
        </w:rPr>
        <w:t>/Å for maximum force, and 0.005 Å for maximum displacement. Additionally, the electronic self-consistent field (SCF) tolerance was set to 10</w:t>
      </w:r>
      <w:r w:rsidRPr="00344843">
        <w:rPr>
          <w:rFonts w:ascii="Times New Roman" w:hAnsi="Times New Roman" w:cs="Times New Roman"/>
          <w:bCs/>
          <w:kern w:val="0"/>
          <w:sz w:val="24"/>
          <w:szCs w:val="20"/>
          <w:vertAlign w:val="superscript"/>
          <w:lang w:eastAsia="en-US"/>
        </w:rPr>
        <w:t xml:space="preserve">-6 </w:t>
      </w:r>
      <w:proofErr w:type="spellStart"/>
      <w:r w:rsidRPr="00344843">
        <w:rPr>
          <w:rFonts w:ascii="Times New Roman" w:hAnsi="Times New Roman" w:cs="Times New Roman"/>
          <w:bCs/>
          <w:kern w:val="0"/>
          <w:sz w:val="24"/>
          <w:szCs w:val="20"/>
          <w:lang w:eastAsia="en-US"/>
        </w:rPr>
        <w:t>Hartree</w:t>
      </w:r>
      <w:proofErr w:type="spellEnd"/>
      <w:r w:rsidRPr="00344843">
        <w:rPr>
          <w:rFonts w:ascii="Times New Roman" w:hAnsi="Times New Roman" w:cs="Times New Roman"/>
          <w:bCs/>
          <w:kern w:val="0"/>
          <w:sz w:val="24"/>
          <w:szCs w:val="20"/>
          <w:lang w:eastAsia="en-US"/>
        </w:rPr>
        <w:t>.</w:t>
      </w:r>
      <w:r w:rsidRPr="00344843">
        <w:rPr>
          <w:rFonts w:ascii="Times New Roman" w:hAnsi="Times New Roman" w:cs="Times New Roman"/>
          <w:bCs/>
          <w:kern w:val="0"/>
          <w:sz w:val="22"/>
          <w:szCs w:val="18"/>
          <w:lang w:eastAsia="en-US"/>
        </w:rPr>
        <w:t xml:space="preserve"> </w:t>
      </w:r>
      <w:r w:rsidRPr="00344843">
        <w:rPr>
          <w:rFonts w:ascii="Times New Roman" w:hAnsi="Times New Roman" w:cs="Times New Roman"/>
          <w:bCs/>
          <w:kern w:val="0"/>
          <w:sz w:val="24"/>
          <w:szCs w:val="20"/>
          <w:lang w:eastAsia="en-US"/>
        </w:rPr>
        <w:t>The structural optimization and energy calculations</w:t>
      </w:r>
      <w:r w:rsidRPr="00344843">
        <w:rPr>
          <w:rFonts w:ascii="Times New Roman" w:hAnsi="Times New Roman" w:cs="Times New Roman"/>
          <w:bCs/>
          <w:kern w:val="0"/>
          <w:sz w:val="24"/>
          <w:szCs w:val="20"/>
          <w:lang w:eastAsia="en-US"/>
        </w:rPr>
        <w:t xml:space="preserve"> of the single-molecule structures H-NDA and H-NDA-G were performed using the Gaussian 16 program with the B3LYP-</w:t>
      </w:r>
      <w:proofErr w:type="gramStart"/>
      <w:r w:rsidRPr="00344843">
        <w:rPr>
          <w:rFonts w:ascii="Times New Roman" w:hAnsi="Times New Roman" w:cs="Times New Roman"/>
          <w:bCs/>
          <w:kern w:val="0"/>
          <w:sz w:val="24"/>
          <w:szCs w:val="20"/>
          <w:lang w:eastAsia="en-US"/>
        </w:rPr>
        <w:t>D3(</w:t>
      </w:r>
      <w:proofErr w:type="gramEnd"/>
      <w:r w:rsidRPr="00344843">
        <w:rPr>
          <w:rFonts w:ascii="Times New Roman" w:hAnsi="Times New Roman" w:cs="Times New Roman"/>
          <w:bCs/>
          <w:kern w:val="0"/>
          <w:sz w:val="24"/>
          <w:szCs w:val="20"/>
          <w:lang w:eastAsia="en-US"/>
        </w:rPr>
        <w:t>BJ) functional. The geometries were optimized and energies were calculated at the def2-SVP and def2-TZVP basis sets, respectively.</w:t>
      </w:r>
      <w:r w:rsidRPr="00344843">
        <w:rPr>
          <w:rFonts w:ascii="Times New Roman" w:hAnsi="Times New Roman" w:cs="Times New Roman" w:hint="eastAsia"/>
          <w:bCs/>
          <w:kern w:val="0"/>
          <w:sz w:val="24"/>
          <w:szCs w:val="20"/>
        </w:rPr>
        <w:t xml:space="preserve"> </w:t>
      </w:r>
      <w:r w:rsidRPr="00344843">
        <w:rPr>
          <w:rFonts w:ascii="Times New Roman" w:hAnsi="Times New Roman" w:cs="Times New Roman"/>
          <w:bCs/>
          <w:kern w:val="0"/>
          <w:sz w:val="24"/>
          <w:szCs w:val="20"/>
          <w:lang w:eastAsia="en-US"/>
        </w:rPr>
        <w:t>Molecular</w:t>
      </w:r>
      <w:r w:rsidRPr="00344843">
        <w:rPr>
          <w:rFonts w:ascii="Times New Roman" w:hAnsi="Times New Roman" w:cs="Times New Roman"/>
          <w:bCs/>
          <w:kern w:val="0"/>
          <w:sz w:val="24"/>
          <w:szCs w:val="20"/>
          <w:lang w:eastAsia="en-US"/>
        </w:rPr>
        <w:t xml:space="preserve"> electrostatic potential (MESP) and differential charge analysis were carried out using the </w:t>
      </w:r>
      <w:proofErr w:type="spellStart"/>
      <w:r w:rsidRPr="00344843">
        <w:rPr>
          <w:rFonts w:ascii="Times New Roman" w:hAnsi="Times New Roman" w:cs="Times New Roman"/>
          <w:bCs/>
          <w:kern w:val="0"/>
          <w:sz w:val="24"/>
          <w:szCs w:val="20"/>
          <w:lang w:eastAsia="en-US"/>
        </w:rPr>
        <w:t>Multiwfn</w:t>
      </w:r>
      <w:proofErr w:type="spellEnd"/>
      <w:r w:rsidRPr="00344843">
        <w:rPr>
          <w:rFonts w:ascii="Times New Roman" w:hAnsi="Times New Roman" w:cs="Times New Roman"/>
          <w:bCs/>
          <w:kern w:val="0"/>
          <w:sz w:val="24"/>
          <w:szCs w:val="20"/>
          <w:lang w:eastAsia="en-US"/>
        </w:rPr>
        <w:t xml:space="preserve"> software. The MESP maps were visualized using the Visual Molecular Dynamics (VMD) software.    </w:t>
      </w:r>
      <w:r w:rsidRPr="00344843">
        <w:rPr>
          <w:rFonts w:ascii="Times New Roman" w:hAnsi="Times New Roman" w:cs="Times New Roman"/>
          <w:b/>
          <w:kern w:val="0"/>
          <w:sz w:val="28"/>
          <w:szCs w:val="21"/>
          <w:lang w:eastAsia="en-US"/>
        </w:rPr>
        <w:t xml:space="preserve">                                                            </w:t>
      </w:r>
      <w:r w:rsidRPr="00344843">
        <w:rPr>
          <w:rFonts w:ascii="Times New Roman" w:hAnsi="Times New Roman" w:cs="Times New Roman"/>
          <w:b/>
          <w:kern w:val="0"/>
          <w:sz w:val="28"/>
          <w:szCs w:val="21"/>
          <w:lang w:eastAsia="en-US"/>
        </w:rPr>
        <w:t xml:space="preserve">                                                                                                            </w:t>
      </w:r>
    </w:p>
    <w:p w:rsidR="0065273B" w:rsidRPr="00344843" w:rsidRDefault="006570AC">
      <w:pPr>
        <w:keepNext/>
        <w:rPr>
          <w:rFonts w:ascii="Times New Roman" w:hAnsi="Times New Roman" w:cs="Times New Roman"/>
        </w:rPr>
      </w:pPr>
      <w:bookmarkStart w:id="2" w:name="_Hlk166775967"/>
      <w:r w:rsidRPr="00344843">
        <w:rPr>
          <w:rFonts w:ascii="Times New Roman" w:hAnsi="Times New Roman" w:cs="Times New Roman"/>
          <w:noProof/>
          <w:lang w:eastAsia="en-US"/>
        </w:rPr>
        <w:lastRenderedPageBreak/>
        <w:drawing>
          <wp:inline distT="0" distB="0" distL="0" distR="0" wp14:anchorId="3E894416" wp14:editId="3305E30C">
            <wp:extent cx="5006975" cy="2036445"/>
            <wp:effectExtent l="0" t="0" r="0" b="190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036391" cy="204846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1</w:t>
      </w:r>
      <w:r w:rsidRPr="00344843">
        <w:rPr>
          <w:b/>
        </w:rPr>
        <w:t xml:space="preserve"> </w:t>
      </w:r>
      <w:bookmarkStart w:id="3" w:name="_Hlk162625051"/>
      <w:r w:rsidRPr="00344843">
        <w:rPr>
          <w:b/>
        </w:rPr>
        <w:t xml:space="preserve">Surface Electrostatic Potential Distribution of NTCDA and DAT: </w:t>
      </w:r>
      <w:bookmarkEnd w:id="3"/>
      <w:r w:rsidRPr="00344843">
        <w:rPr>
          <w:b/>
        </w:rPr>
        <w:t xml:space="preserve">(a) NTCDA, (b) </w:t>
      </w:r>
      <w:r w:rsidRPr="00344843">
        <w:t xml:space="preserve">DAT. (In the figure, blue </w:t>
      </w:r>
      <w:r w:rsidRPr="00344843">
        <w:t xml:space="preserve">regions indicate negative electrostatic potential values, signifying a higher electron-donating tendency or </w:t>
      </w:r>
      <w:proofErr w:type="spellStart"/>
      <w:r w:rsidRPr="00344843">
        <w:t>nucleophilicity</w:t>
      </w:r>
      <w:proofErr w:type="spellEnd"/>
      <w:r w:rsidRPr="00344843">
        <w:t xml:space="preserve"> compared to other areas; whereas red regions indicate positive electrostatic potential values, indicating a greater electron-accepti</w:t>
      </w:r>
      <w:r w:rsidRPr="00344843">
        <w:t xml:space="preserve">ng tendency or </w:t>
      </w:r>
      <w:proofErr w:type="spellStart"/>
      <w:r w:rsidRPr="00344843">
        <w:t>electrophilicity</w:t>
      </w:r>
      <w:proofErr w:type="spellEnd"/>
      <w:r w:rsidRPr="00344843">
        <w:t xml:space="preserve"> relative to other areas.)</w:t>
      </w:r>
    </w:p>
    <w:bookmarkEnd w:id="2"/>
    <w:p w:rsidR="0065273B" w:rsidRPr="00344843" w:rsidRDefault="006570AC">
      <w:r w:rsidRPr="00344843">
        <w:rPr>
          <w:noProof/>
          <w:lang w:eastAsia="en-US"/>
        </w:rPr>
        <w:drawing>
          <wp:inline distT="0" distB="0" distL="0" distR="0" wp14:anchorId="03E42226" wp14:editId="61FEB6A9">
            <wp:extent cx="5224780" cy="3096895"/>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5224780" cy="3096895"/>
                    </a:xfrm>
                    <a:prstGeom prst="rect">
                      <a:avLst/>
                    </a:prstGeom>
                    <a:noFill/>
                  </pic:spPr>
                </pic:pic>
              </a:graphicData>
            </a:graphic>
          </wp:inline>
        </w:drawing>
      </w:r>
    </w:p>
    <w:p w:rsidR="0065273B" w:rsidRPr="00344843" w:rsidRDefault="0065273B">
      <w:pPr>
        <w:keepNext/>
        <w:rPr>
          <w:rFonts w:ascii="Times New Roman" w:hAnsi="Times New Roman" w:cs="Times New Roman"/>
        </w:rPr>
      </w:pPr>
    </w:p>
    <w:p w:rsidR="0065273B" w:rsidRPr="00344843" w:rsidRDefault="006570AC">
      <w:pPr>
        <w:pStyle w:val="Caption"/>
      </w:pPr>
      <w:r w:rsidRPr="00344843">
        <w:rPr>
          <w:b/>
        </w:rPr>
        <w:t>Figure S</w:t>
      </w:r>
      <w:r w:rsidRPr="00344843">
        <w:rPr>
          <w:b/>
        </w:rPr>
        <w:t>2</w:t>
      </w:r>
      <w:r w:rsidRPr="00344843">
        <w:rPr>
          <w:b/>
        </w:rPr>
        <w:t xml:space="preserve">. </w:t>
      </w:r>
      <w:bookmarkStart w:id="4" w:name="_Hlk166839444"/>
      <w:r w:rsidRPr="00344843">
        <w:rPr>
          <w:b/>
        </w:rPr>
        <w:t>H-NDA Reaction Synthesis Preparation Mechanism Diagram</w:t>
      </w:r>
      <w:r w:rsidRPr="00344843">
        <w:t xml:space="preserve">: (a) Preparation of Small Molecules with </w:t>
      </w:r>
      <w:proofErr w:type="spellStart"/>
      <w:r w:rsidRPr="00344843">
        <w:t>Acylamide</w:t>
      </w:r>
      <w:proofErr w:type="spellEnd"/>
      <w:r w:rsidRPr="00344843">
        <w:t xml:space="preserve"> Structural Units, (b) Schematic of Self-Assembly of</w:t>
      </w:r>
      <w:r w:rsidRPr="00344843">
        <w:t xml:space="preserve"> Small Molecular Units via Secondary Bonding Interactions such as Hydrogen Bonds and π-π Stacking.</w:t>
      </w:r>
    </w:p>
    <w:bookmarkEnd w:id="4"/>
    <w:p w:rsidR="0065273B" w:rsidRPr="00344843" w:rsidRDefault="0065273B"/>
    <w:p w:rsidR="0065273B" w:rsidRPr="00344843" w:rsidRDefault="0065273B">
      <w:pPr>
        <w:rPr>
          <w:rFonts w:ascii="Times New Roman" w:hAnsi="Times New Roman" w:cs="Times New Roman"/>
        </w:rPr>
      </w:pPr>
    </w:p>
    <w:p w:rsidR="0065273B" w:rsidRPr="00344843" w:rsidRDefault="006570AC">
      <w:pPr>
        <w:keepNext/>
        <w:rPr>
          <w:rFonts w:ascii="Times New Roman" w:hAnsi="Times New Roman" w:cs="Times New Roman"/>
        </w:rPr>
      </w:pPr>
      <w:r w:rsidRPr="00344843">
        <w:rPr>
          <w:rFonts w:ascii="Times New Roman" w:hAnsi="Times New Roman" w:cs="Times New Roman"/>
          <w:noProof/>
          <w:lang w:eastAsia="en-US"/>
        </w:rPr>
        <w:lastRenderedPageBreak/>
        <w:drawing>
          <wp:inline distT="0" distB="0" distL="0" distR="0" wp14:anchorId="03B26DB4" wp14:editId="6F2752FA">
            <wp:extent cx="5307965" cy="1783715"/>
            <wp:effectExtent l="0" t="0" r="0" b="698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359384" cy="1801292"/>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3</w:t>
      </w:r>
      <w:r w:rsidRPr="00344843">
        <w:rPr>
          <w:b/>
        </w:rPr>
        <w:t xml:space="preserve"> Comparison of Typical Scanning Images for NTCDA </w:t>
      </w:r>
      <w:r w:rsidRPr="00344843">
        <w:rPr>
          <w:rFonts w:hint="eastAsia"/>
          <w:b/>
        </w:rPr>
        <w:t>and</w:t>
      </w:r>
      <w:r w:rsidRPr="00344843">
        <w:rPr>
          <w:b/>
        </w:rPr>
        <w:t xml:space="preserve"> DAT</w:t>
      </w:r>
      <w:r w:rsidRPr="00344843">
        <w:t>. (a) NTCDA, (b) DAT. (Compared to the nanowire structure exh</w:t>
      </w:r>
      <w:r w:rsidRPr="00344843">
        <w:t xml:space="preserve">ibited by H-NDA, NTCDA displays a typical rod-like structure, while DAT presents a two-dimensional </w:t>
      </w:r>
      <w:proofErr w:type="spellStart"/>
      <w:r w:rsidRPr="00344843">
        <w:t>nanosheet</w:t>
      </w:r>
      <w:proofErr w:type="spellEnd"/>
      <w:r w:rsidRPr="00344843">
        <w:t xml:space="preserve"> structure. The significant structural variations correspond to the ordered self-assembly of H-NDA.)</w:t>
      </w:r>
    </w:p>
    <w:p w:rsidR="0065273B" w:rsidRPr="00344843" w:rsidRDefault="006570AC">
      <w:pPr>
        <w:keepNext/>
        <w:jc w:val="center"/>
      </w:pPr>
      <w:r w:rsidRPr="00344843">
        <w:rPr>
          <w:noProof/>
          <w:lang w:eastAsia="en-US"/>
        </w:rPr>
        <w:drawing>
          <wp:inline distT="0" distB="0" distL="114300" distR="114300" wp14:anchorId="52A730B0" wp14:editId="7303B11E">
            <wp:extent cx="2634615" cy="1976120"/>
            <wp:effectExtent l="0" t="0" r="1905" b="5080"/>
            <wp:docPr id="2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0"/>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634615" cy="1976120"/>
                    </a:xfrm>
                    <a:prstGeom prst="rect">
                      <a:avLst/>
                    </a:prstGeom>
                  </pic:spPr>
                </pic:pic>
              </a:graphicData>
            </a:graphic>
          </wp:inline>
        </w:drawing>
      </w:r>
    </w:p>
    <w:p w:rsidR="0065273B" w:rsidRPr="00344843" w:rsidRDefault="006570AC">
      <w:pPr>
        <w:pStyle w:val="Caption"/>
      </w:pPr>
      <w:r w:rsidRPr="00344843">
        <w:rPr>
          <w:b/>
        </w:rPr>
        <w:t>Figure S</w:t>
      </w:r>
      <w:r w:rsidRPr="00344843">
        <w:rPr>
          <w:b/>
        </w:rPr>
        <w:t>4</w:t>
      </w:r>
      <w:r w:rsidRPr="00344843">
        <w:t xml:space="preserve"> </w:t>
      </w:r>
      <w:r w:rsidRPr="00344843">
        <w:rPr>
          <w:rFonts w:hint="eastAsia"/>
        </w:rPr>
        <w:t xml:space="preserve">Typical </w:t>
      </w:r>
      <w:r w:rsidRPr="00344843">
        <w:rPr>
          <w:rFonts w:hint="eastAsia"/>
        </w:rPr>
        <w:t>Scanning Images for H-NDA.</w:t>
      </w:r>
    </w:p>
    <w:p w:rsidR="0065273B" w:rsidRPr="00344843" w:rsidRDefault="0065273B"/>
    <w:p w:rsidR="0065273B" w:rsidRPr="00344843" w:rsidRDefault="006570AC">
      <w:pPr>
        <w:keepNext/>
        <w:jc w:val="center"/>
      </w:pPr>
      <w:r w:rsidRPr="00344843">
        <w:rPr>
          <w:noProof/>
          <w:lang w:eastAsia="en-US"/>
        </w:rPr>
        <w:drawing>
          <wp:inline distT="0" distB="0" distL="0" distR="0" wp14:anchorId="6FAEBC4A" wp14:editId="1D7A4E68">
            <wp:extent cx="3400425" cy="217360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3427268" cy="2190820"/>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5</w:t>
      </w:r>
      <w:r w:rsidRPr="00344843">
        <w:t xml:space="preserve"> H-NDA </w:t>
      </w:r>
      <w:proofErr w:type="spellStart"/>
      <w:r w:rsidRPr="00344843">
        <w:t>Cryo</w:t>
      </w:r>
      <w:proofErr w:type="spellEnd"/>
      <w:r w:rsidRPr="00344843">
        <w:t>-EM HRTEM lattice fringe spacing measurement.</w:t>
      </w:r>
    </w:p>
    <w:p w:rsidR="0065273B" w:rsidRPr="00344843" w:rsidRDefault="006570AC">
      <w:pPr>
        <w:keepNext/>
        <w:jc w:val="center"/>
      </w:pPr>
      <w:r w:rsidRPr="00344843">
        <w:rPr>
          <w:noProof/>
          <w:lang w:eastAsia="en-US"/>
        </w:rPr>
        <w:lastRenderedPageBreak/>
        <w:drawing>
          <wp:inline distT="0" distB="0" distL="0" distR="0" wp14:anchorId="781EB86E" wp14:editId="4D964D32">
            <wp:extent cx="3124200" cy="2151380"/>
            <wp:effectExtent l="0" t="0" r="0" b="1270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3212276" cy="221260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6</w:t>
      </w:r>
      <w:r w:rsidRPr="00344843">
        <w:t xml:space="preserve"> Theoretical simulation of π-π stacking distance between </w:t>
      </w:r>
      <w:r w:rsidRPr="00344843">
        <w:rPr>
          <w:rFonts w:hint="eastAsia"/>
        </w:rPr>
        <w:t>two</w:t>
      </w:r>
      <w:r w:rsidRPr="00344843">
        <w:t xml:space="preserve"> single H-NDA molecules.</w:t>
      </w:r>
    </w:p>
    <w:p w:rsidR="0065273B" w:rsidRPr="00344843" w:rsidRDefault="0065273B">
      <w:pPr>
        <w:rPr>
          <w:rFonts w:ascii="Times New Roman" w:hAnsi="Times New Roman" w:cs="Times New Roman"/>
        </w:rPr>
      </w:pPr>
    </w:p>
    <w:p w:rsidR="0065273B" w:rsidRPr="00344843" w:rsidRDefault="006570AC">
      <w:pPr>
        <w:keepNext/>
      </w:pPr>
      <w:r w:rsidRPr="00344843">
        <w:rPr>
          <w:rFonts w:ascii="Times New Roman" w:hAnsi="Times New Roman" w:cs="Times New Roman"/>
          <w:noProof/>
          <w:lang w:eastAsia="en-US"/>
        </w:rPr>
        <w:drawing>
          <wp:inline distT="0" distB="0" distL="0" distR="0" wp14:anchorId="1A1C4CF6" wp14:editId="4AC12C05">
            <wp:extent cx="5329555" cy="1315720"/>
            <wp:effectExtent l="0" t="0" r="4445"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380859" cy="1328630"/>
                    </a:xfrm>
                    <a:prstGeom prst="rect">
                      <a:avLst/>
                    </a:prstGeom>
                    <a:noFill/>
                  </pic:spPr>
                </pic:pic>
              </a:graphicData>
            </a:graphic>
          </wp:inline>
        </w:drawing>
      </w:r>
    </w:p>
    <w:p w:rsidR="0065273B" w:rsidRPr="00344843" w:rsidRDefault="006570AC">
      <w:pPr>
        <w:pStyle w:val="Caption"/>
      </w:pPr>
      <w:r w:rsidRPr="00344843">
        <w:rPr>
          <w:b/>
        </w:rPr>
        <w:t xml:space="preserve">Figure </w:t>
      </w:r>
      <w:r w:rsidRPr="00344843">
        <w:rPr>
          <w:b/>
        </w:rPr>
        <w:t>S</w:t>
      </w:r>
      <w:r w:rsidRPr="00344843">
        <w:rPr>
          <w:b/>
        </w:rPr>
        <w:t>7</w:t>
      </w:r>
      <w:r w:rsidRPr="00344843">
        <w:t xml:space="preserve"> </w:t>
      </w:r>
      <w:bookmarkStart w:id="5" w:name="_Hlk159010947"/>
      <w:r w:rsidRPr="00344843">
        <w:rPr>
          <w:b/>
        </w:rPr>
        <w:t xml:space="preserve">H-NDA high-resolution transmission </w:t>
      </w:r>
      <w:proofErr w:type="gramStart"/>
      <w:r w:rsidRPr="00344843">
        <w:rPr>
          <w:b/>
        </w:rPr>
        <w:t>EDS</w:t>
      </w:r>
      <w:proofErr w:type="gramEnd"/>
      <w:r w:rsidRPr="00344843">
        <w:rPr>
          <w:b/>
        </w:rPr>
        <w:t xml:space="preserve"> image</w:t>
      </w:r>
      <w:r w:rsidRPr="00344843">
        <w:t>. (a) H-NDA HAADF image. (b) C (c) N (d) O.</w:t>
      </w:r>
    </w:p>
    <w:bookmarkEnd w:id="5"/>
    <w:p w:rsidR="0065273B" w:rsidRPr="00344843" w:rsidRDefault="0065273B"/>
    <w:p w:rsidR="0065273B" w:rsidRPr="00344843" w:rsidRDefault="006570AC">
      <w:pPr>
        <w:keepNext/>
      </w:pPr>
      <w:r w:rsidRPr="00344843">
        <w:rPr>
          <w:rFonts w:ascii="Times New Roman" w:hAnsi="Times New Roman" w:cs="Times New Roman"/>
          <w:noProof/>
          <w:lang w:eastAsia="en-US"/>
        </w:rPr>
        <w:drawing>
          <wp:inline distT="0" distB="0" distL="0" distR="0" wp14:anchorId="6FC28D90" wp14:editId="15BDADAC">
            <wp:extent cx="5348605" cy="1320165"/>
            <wp:effectExtent l="0" t="0" r="444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422020" cy="133879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8</w:t>
      </w:r>
      <w:r w:rsidRPr="00344843">
        <w:t xml:space="preserve"> </w:t>
      </w:r>
      <w:r w:rsidRPr="00344843">
        <w:rPr>
          <w:rFonts w:hint="eastAsia"/>
          <w:b/>
        </w:rPr>
        <w:t>H-NDA-G</w:t>
      </w:r>
      <w:r w:rsidRPr="00344843">
        <w:rPr>
          <w:b/>
        </w:rPr>
        <w:t xml:space="preserve"> high-resolution transmission </w:t>
      </w:r>
      <w:proofErr w:type="gramStart"/>
      <w:r w:rsidRPr="00344843">
        <w:rPr>
          <w:b/>
        </w:rPr>
        <w:t>EDS</w:t>
      </w:r>
      <w:proofErr w:type="gramEnd"/>
      <w:r w:rsidRPr="00344843">
        <w:rPr>
          <w:b/>
        </w:rPr>
        <w:t xml:space="preserve"> image</w:t>
      </w:r>
      <w:r w:rsidRPr="00344843">
        <w:t xml:space="preserve">. (a) </w:t>
      </w:r>
      <w:r w:rsidRPr="00344843">
        <w:rPr>
          <w:rFonts w:hint="eastAsia"/>
        </w:rPr>
        <w:t>H-NDA-G</w:t>
      </w:r>
      <w:r w:rsidRPr="00344843">
        <w:t xml:space="preserve"> HAADF image. (b) C (c) N (d) O.</w:t>
      </w:r>
    </w:p>
    <w:p w:rsidR="0065273B" w:rsidRPr="00344843" w:rsidRDefault="0065273B"/>
    <w:p w:rsidR="0065273B" w:rsidRPr="00344843" w:rsidRDefault="006570AC">
      <w:pPr>
        <w:jc w:val="center"/>
      </w:pPr>
      <w:r w:rsidRPr="00344843">
        <w:rPr>
          <w:noProof/>
          <w:lang w:eastAsia="en-US"/>
        </w:rPr>
        <w:lastRenderedPageBreak/>
        <w:drawing>
          <wp:inline distT="0" distB="0" distL="0" distR="0" wp14:anchorId="28BC6997" wp14:editId="5F2B91FB">
            <wp:extent cx="5057140" cy="2115820"/>
            <wp:effectExtent l="0" t="0" r="254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6"/>
                    <a:srcRect r="4115"/>
                    <a:stretch>
                      <a:fillRect/>
                    </a:stretch>
                  </pic:blipFill>
                  <pic:spPr>
                    <a:xfrm>
                      <a:off x="0" y="0"/>
                      <a:ext cx="5057274" cy="2115820"/>
                    </a:xfrm>
                    <a:prstGeom prst="rect">
                      <a:avLst/>
                    </a:prstGeom>
                    <a:ln>
                      <a:noFill/>
                    </a:ln>
                  </pic:spPr>
                </pic:pic>
              </a:graphicData>
            </a:graphic>
          </wp:inline>
        </w:drawing>
      </w:r>
    </w:p>
    <w:p w:rsidR="0065273B" w:rsidRPr="00344843" w:rsidRDefault="0065273B">
      <w:pPr>
        <w:keepNext/>
        <w:jc w:val="center"/>
      </w:pPr>
    </w:p>
    <w:p w:rsidR="0065273B" w:rsidRPr="00344843" w:rsidRDefault="006570AC">
      <w:pPr>
        <w:pStyle w:val="Caption"/>
      </w:pPr>
      <w:r w:rsidRPr="00344843">
        <w:rPr>
          <w:b/>
        </w:rPr>
        <w:t>Figure S</w:t>
      </w:r>
      <w:r w:rsidRPr="00344843">
        <w:rPr>
          <w:b/>
        </w:rPr>
        <w:t>9</w:t>
      </w:r>
      <w:r w:rsidRPr="00344843">
        <w:rPr>
          <w:b/>
        </w:rPr>
        <w:t xml:space="preserve"> </w:t>
      </w:r>
      <w:r w:rsidRPr="00344843">
        <w:t>Planar Color Map of H-NDA Based on Interaction Area Indicator Function Analysis.</w:t>
      </w:r>
    </w:p>
    <w:p w:rsidR="0065273B" w:rsidRPr="00344843" w:rsidRDefault="006570AC">
      <w:pPr>
        <w:keepNext/>
        <w:jc w:val="center"/>
      </w:pPr>
      <w:r w:rsidRPr="00344843">
        <w:rPr>
          <w:noProof/>
          <w:lang w:eastAsia="en-US"/>
        </w:rPr>
        <w:drawing>
          <wp:inline distT="0" distB="0" distL="0" distR="0" wp14:anchorId="258C3901" wp14:editId="0F73A7A5">
            <wp:extent cx="4787900" cy="2085975"/>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787900" cy="208612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10</w:t>
      </w:r>
      <w:r w:rsidRPr="00344843">
        <w:t xml:space="preserve"> </w:t>
      </w:r>
      <w:r w:rsidRPr="00344843">
        <w:rPr>
          <w:b/>
        </w:rPr>
        <w:t>Visualization of chemical bonds and weak interactions in H-NDA dimer molecules using the IRI metho</w:t>
      </w:r>
      <w:r w:rsidRPr="00344843">
        <w:rPr>
          <w:b/>
        </w:rPr>
        <w:t xml:space="preserve">d. </w:t>
      </w:r>
      <w:r w:rsidRPr="00344843">
        <w:t xml:space="preserve">(a) The equivalent </w:t>
      </w:r>
      <w:proofErr w:type="spellStart"/>
      <w:r w:rsidRPr="00344843">
        <w:t>isosurface</w:t>
      </w:r>
      <w:proofErr w:type="spellEnd"/>
      <w:r w:rsidRPr="00344843">
        <w:t xml:space="preserve"> map. (b) Scatter map between IRI and </w:t>
      </w:r>
      <w:proofErr w:type="gramStart"/>
      <w:r w:rsidRPr="00344843">
        <w:t>sign(</w:t>
      </w:r>
      <w:proofErr w:type="gramEnd"/>
      <w:r w:rsidRPr="00344843">
        <w:t>λ2)ρ.</w:t>
      </w:r>
    </w:p>
    <w:p w:rsidR="0065273B" w:rsidRPr="00344843" w:rsidRDefault="006570AC">
      <w:pPr>
        <w:keepNext/>
        <w:jc w:val="center"/>
      </w:pPr>
      <w:r w:rsidRPr="00344843">
        <w:rPr>
          <w:noProof/>
          <w:lang w:eastAsia="en-US"/>
        </w:rPr>
        <w:drawing>
          <wp:inline distT="0" distB="0" distL="0" distR="0" wp14:anchorId="62F314F8" wp14:editId="2278587E">
            <wp:extent cx="4597400" cy="1890395"/>
            <wp:effectExtent l="0" t="0" r="5080" b="146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4640205" cy="190863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11</w:t>
      </w:r>
      <w:r w:rsidRPr="00344843">
        <w:t xml:space="preserve"> </w:t>
      </w:r>
      <w:r w:rsidRPr="00344843">
        <w:rPr>
          <w:b/>
        </w:rPr>
        <w:t xml:space="preserve">Visualization of chemical bonds and weak interactions between H-NDA and </w:t>
      </w:r>
      <w:proofErr w:type="spellStart"/>
      <w:r w:rsidRPr="00344843">
        <w:rPr>
          <w:b/>
        </w:rPr>
        <w:t>graphene</w:t>
      </w:r>
      <w:proofErr w:type="spellEnd"/>
      <w:r w:rsidRPr="00344843">
        <w:rPr>
          <w:b/>
        </w:rPr>
        <w:t xml:space="preserve"> layers using the IRI method.</w:t>
      </w:r>
      <w:r w:rsidRPr="00344843">
        <w:t xml:space="preserve"> (a) The equivalent </w:t>
      </w:r>
      <w:proofErr w:type="spellStart"/>
      <w:r w:rsidRPr="00344843">
        <w:t>isosur</w:t>
      </w:r>
      <w:r w:rsidRPr="00344843">
        <w:t>face</w:t>
      </w:r>
      <w:proofErr w:type="spellEnd"/>
      <w:r w:rsidRPr="00344843">
        <w:t xml:space="preserve"> map. (b) Scatter map between IRI and sign(λ2)ρ. (By combining the analysis of both graphs, one can conclude that the H-NDA molecule is primarily engaged in attractive π-π interactions with the </w:t>
      </w:r>
      <w:proofErr w:type="spellStart"/>
      <w:r w:rsidRPr="00344843">
        <w:t>graphene</w:t>
      </w:r>
      <w:proofErr w:type="spellEnd"/>
      <w:r w:rsidRPr="00344843">
        <w:t xml:space="preserve"> with minimal steric repulsion, as evidenced by th</w:t>
      </w:r>
      <w:r w:rsidRPr="00344843">
        <w:t xml:space="preserve">e </w:t>
      </w:r>
      <w:proofErr w:type="spellStart"/>
      <w:r w:rsidRPr="00344843">
        <w:t>isosurface</w:t>
      </w:r>
      <w:proofErr w:type="spellEnd"/>
      <w:r w:rsidRPr="00344843">
        <w:t xml:space="preserve"> representation and the predominance of blue in the scatter plot.)</w:t>
      </w:r>
    </w:p>
    <w:p w:rsidR="0065273B" w:rsidRPr="00344843" w:rsidRDefault="0065273B"/>
    <w:p w:rsidR="0065273B" w:rsidRPr="00344843" w:rsidRDefault="006570AC">
      <w:pPr>
        <w:keepNext/>
      </w:pPr>
      <w:r w:rsidRPr="00344843">
        <w:rPr>
          <w:rFonts w:hint="eastAsia"/>
          <w:noProof/>
          <w:lang w:eastAsia="en-US"/>
        </w:rPr>
        <w:lastRenderedPageBreak/>
        <w:drawing>
          <wp:inline distT="0" distB="0" distL="114300" distR="114300" wp14:anchorId="7DE7B0E9" wp14:editId="3C7AE45D">
            <wp:extent cx="5270500" cy="2063115"/>
            <wp:effectExtent l="0" t="0" r="2540" b="9525"/>
            <wp:docPr id="25" name="图片 25" descr="H-NDA和GOXRD对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H-NDA和GOXRD对比"/>
                    <pic:cNvPicPr>
                      <a:picLocks noChangeAspect="1"/>
                    </pic:cNvPicPr>
                  </pic:nvPicPr>
                  <pic:blipFill>
                    <a:blip r:embed="rId19"/>
                    <a:stretch>
                      <a:fillRect/>
                    </a:stretch>
                  </pic:blipFill>
                  <pic:spPr>
                    <a:xfrm>
                      <a:off x="0" y="0"/>
                      <a:ext cx="5270500" cy="2063115"/>
                    </a:xfrm>
                    <a:prstGeom prst="rect">
                      <a:avLst/>
                    </a:prstGeom>
                  </pic:spPr>
                </pic:pic>
              </a:graphicData>
            </a:graphic>
          </wp:inline>
        </w:drawing>
      </w:r>
    </w:p>
    <w:p w:rsidR="0065273B" w:rsidRPr="00344843" w:rsidRDefault="006570AC">
      <w:pPr>
        <w:pStyle w:val="Caption"/>
      </w:pPr>
      <w:bookmarkStart w:id="6" w:name="_Hlk159014950"/>
      <w:r w:rsidRPr="00344843">
        <w:rPr>
          <w:b/>
        </w:rPr>
        <w:t>Figure S</w:t>
      </w:r>
      <w:r w:rsidRPr="00344843">
        <w:rPr>
          <w:b/>
        </w:rPr>
        <w:t>12</w:t>
      </w:r>
      <w:r w:rsidRPr="00344843">
        <w:t xml:space="preserve"> H-NDA and GO XRD spectrum information. (a) XRD spectrum of H-NDA</w:t>
      </w:r>
      <w:proofErr w:type="gramStart"/>
      <w:r w:rsidRPr="00344843">
        <w:t>.(</w:t>
      </w:r>
      <w:proofErr w:type="gramEnd"/>
      <w:r w:rsidRPr="00344843">
        <w:t>b) XRD spectrum of GO.</w:t>
      </w:r>
    </w:p>
    <w:bookmarkEnd w:id="6"/>
    <w:p w:rsidR="0065273B" w:rsidRPr="00344843" w:rsidRDefault="0065273B"/>
    <w:p w:rsidR="0065273B" w:rsidRPr="00344843" w:rsidRDefault="0065273B">
      <w:pPr>
        <w:jc w:val="center"/>
      </w:pPr>
    </w:p>
    <w:p w:rsidR="0065273B" w:rsidRPr="00344843" w:rsidRDefault="006570AC">
      <w:pPr>
        <w:keepNext/>
        <w:jc w:val="center"/>
      </w:pPr>
      <w:r w:rsidRPr="00344843">
        <w:rPr>
          <w:rFonts w:hint="eastAsia"/>
          <w:noProof/>
          <w:lang w:eastAsia="en-US"/>
        </w:rPr>
        <w:drawing>
          <wp:inline distT="0" distB="0" distL="114300" distR="114300" wp14:anchorId="51979814" wp14:editId="3FB21E5E">
            <wp:extent cx="5267325" cy="4269105"/>
            <wp:effectExtent l="0" t="0" r="5715" b="13335"/>
            <wp:docPr id="28" name="图片 28" descr="三个样品XPS对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三个样品XPS对比"/>
                    <pic:cNvPicPr>
                      <a:picLocks noChangeAspect="1"/>
                    </pic:cNvPicPr>
                  </pic:nvPicPr>
                  <pic:blipFill>
                    <a:blip r:embed="rId20"/>
                    <a:stretch>
                      <a:fillRect/>
                    </a:stretch>
                  </pic:blipFill>
                  <pic:spPr>
                    <a:xfrm>
                      <a:off x="0" y="0"/>
                      <a:ext cx="5267325" cy="4269105"/>
                    </a:xfrm>
                    <a:prstGeom prst="rect">
                      <a:avLst/>
                    </a:prstGeom>
                  </pic:spPr>
                </pic:pic>
              </a:graphicData>
            </a:graphic>
          </wp:inline>
        </w:drawing>
      </w:r>
    </w:p>
    <w:p w:rsidR="0065273B" w:rsidRPr="00344843" w:rsidRDefault="006570AC">
      <w:pPr>
        <w:pStyle w:val="Caption"/>
      </w:pPr>
      <w:r w:rsidRPr="00344843">
        <w:rPr>
          <w:b/>
        </w:rPr>
        <w:t>Figure S</w:t>
      </w:r>
      <w:r w:rsidRPr="00344843">
        <w:rPr>
          <w:b/>
        </w:rPr>
        <w:t>13</w:t>
      </w:r>
      <w:r w:rsidRPr="00344843">
        <w:t xml:space="preserve"> </w:t>
      </w:r>
      <w:bookmarkStart w:id="7" w:name="_Hlk159067718"/>
      <w:r w:rsidRPr="00344843">
        <w:t>XPS s</w:t>
      </w:r>
      <w:r w:rsidRPr="00344843">
        <w:t xml:space="preserve">pectra of C1s, O1s, and N1s for NDA, H-NDA, and </w:t>
      </w:r>
      <w:bookmarkEnd w:id="7"/>
      <w:r w:rsidRPr="00344843">
        <w:rPr>
          <w:rFonts w:hint="eastAsia"/>
        </w:rPr>
        <w:t>H-NDA-G</w:t>
      </w:r>
    </w:p>
    <w:p w:rsidR="0065273B" w:rsidRPr="00344843" w:rsidRDefault="0065273B"/>
    <w:p w:rsidR="0065273B" w:rsidRPr="00344843" w:rsidRDefault="006570AC">
      <w:pPr>
        <w:keepNext/>
        <w:jc w:val="center"/>
      </w:pPr>
      <w:r w:rsidRPr="00344843">
        <w:rPr>
          <w:noProof/>
          <w:lang w:eastAsia="en-US"/>
        </w:rPr>
        <w:lastRenderedPageBreak/>
        <w:drawing>
          <wp:inline distT="0" distB="0" distL="0" distR="0" wp14:anchorId="2F43D397" wp14:editId="581920B8">
            <wp:extent cx="5274310" cy="2303780"/>
            <wp:effectExtent l="0" t="0" r="2540"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1"/>
                    <a:stretch>
                      <a:fillRect/>
                    </a:stretch>
                  </pic:blipFill>
                  <pic:spPr>
                    <a:xfrm>
                      <a:off x="0" y="0"/>
                      <a:ext cx="5274310" cy="2303780"/>
                    </a:xfrm>
                    <a:prstGeom prst="rect">
                      <a:avLst/>
                    </a:prstGeom>
                  </pic:spPr>
                </pic:pic>
              </a:graphicData>
            </a:graphic>
          </wp:inline>
        </w:drawing>
      </w:r>
    </w:p>
    <w:p w:rsidR="0065273B" w:rsidRPr="00344843" w:rsidRDefault="006570AC">
      <w:pPr>
        <w:pStyle w:val="Caption"/>
      </w:pPr>
      <w:r w:rsidRPr="00344843">
        <w:rPr>
          <w:b/>
        </w:rPr>
        <w:t>Figure S</w:t>
      </w:r>
      <w:r w:rsidRPr="00344843">
        <w:rPr>
          <w:b/>
        </w:rPr>
        <w:t>14</w:t>
      </w:r>
      <w:r w:rsidRPr="00344843">
        <w:t xml:space="preserve"> XPS spectra of N1s for H-NDA, and </w:t>
      </w:r>
      <w:r w:rsidRPr="00344843">
        <w:rPr>
          <w:rFonts w:hint="eastAsia"/>
        </w:rPr>
        <w:t>H-NDA-G</w:t>
      </w:r>
      <w:r w:rsidRPr="00344843">
        <w:t xml:space="preserve">. (a) H-NDA. (b) </w:t>
      </w:r>
      <w:r w:rsidRPr="00344843">
        <w:rPr>
          <w:rFonts w:hint="eastAsia"/>
        </w:rPr>
        <w:t>H-NDA-G</w:t>
      </w:r>
      <w:r w:rsidRPr="00344843">
        <w:t>.</w:t>
      </w:r>
    </w:p>
    <w:p w:rsidR="0065273B" w:rsidRPr="00344843" w:rsidRDefault="006570AC">
      <w:pPr>
        <w:keepNext/>
      </w:pPr>
      <w:r w:rsidRPr="00344843">
        <w:rPr>
          <w:noProof/>
          <w:lang w:eastAsia="en-US"/>
        </w:rPr>
        <w:drawing>
          <wp:inline distT="0" distB="0" distL="0" distR="0" wp14:anchorId="57091D04" wp14:editId="13AB0B0E">
            <wp:extent cx="5274310" cy="2094230"/>
            <wp:effectExtent l="0" t="0" r="2540"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2"/>
                    <a:stretch>
                      <a:fillRect/>
                    </a:stretch>
                  </pic:blipFill>
                  <pic:spPr>
                    <a:xfrm>
                      <a:off x="0" y="0"/>
                      <a:ext cx="5274310" cy="2094230"/>
                    </a:xfrm>
                    <a:prstGeom prst="rect">
                      <a:avLst/>
                    </a:prstGeom>
                  </pic:spPr>
                </pic:pic>
              </a:graphicData>
            </a:graphic>
          </wp:inline>
        </w:drawing>
      </w:r>
    </w:p>
    <w:p w:rsidR="0065273B" w:rsidRPr="00344843" w:rsidRDefault="006570AC">
      <w:pPr>
        <w:pStyle w:val="Caption"/>
      </w:pPr>
      <w:r w:rsidRPr="00344843">
        <w:rPr>
          <w:b/>
        </w:rPr>
        <w:t>Figure S</w:t>
      </w:r>
      <w:r w:rsidRPr="00344843">
        <w:rPr>
          <w:b/>
        </w:rPr>
        <w:t>15</w:t>
      </w:r>
      <w:r w:rsidRPr="00344843">
        <w:rPr>
          <w:b/>
        </w:rPr>
        <w:t xml:space="preserve"> </w:t>
      </w:r>
      <w:r w:rsidRPr="00344843">
        <w:t xml:space="preserve">Typical CV curves of H-NDA and NTCDA at 0.2 mv/s. </w:t>
      </w:r>
      <w:r w:rsidRPr="00344843">
        <w:t>(a) H-NDA; (b) NTCDA.</w:t>
      </w:r>
    </w:p>
    <w:p w:rsidR="0065273B" w:rsidRPr="00344843" w:rsidRDefault="0065273B"/>
    <w:p w:rsidR="0065273B" w:rsidRPr="00344843" w:rsidRDefault="0065273B"/>
    <w:p w:rsidR="0065273B" w:rsidRPr="00344843" w:rsidRDefault="006570AC">
      <w:pPr>
        <w:keepNext/>
      </w:pPr>
      <w:r w:rsidRPr="00344843">
        <w:rPr>
          <w:noProof/>
          <w:lang w:eastAsia="en-US"/>
        </w:rPr>
        <w:drawing>
          <wp:inline distT="0" distB="0" distL="0" distR="0" wp14:anchorId="23D3E171" wp14:editId="127C7F39">
            <wp:extent cx="5274310" cy="2102485"/>
            <wp:effectExtent l="0" t="0" r="254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23"/>
                    <a:stretch>
                      <a:fillRect/>
                    </a:stretch>
                  </pic:blipFill>
                  <pic:spPr>
                    <a:xfrm>
                      <a:off x="0" y="0"/>
                      <a:ext cx="5274310" cy="2102485"/>
                    </a:xfrm>
                    <a:prstGeom prst="rect">
                      <a:avLst/>
                    </a:prstGeom>
                  </pic:spPr>
                </pic:pic>
              </a:graphicData>
            </a:graphic>
          </wp:inline>
        </w:drawing>
      </w:r>
    </w:p>
    <w:p w:rsidR="0065273B" w:rsidRPr="00344843" w:rsidRDefault="006570AC">
      <w:pPr>
        <w:pStyle w:val="Caption"/>
      </w:pPr>
      <w:r w:rsidRPr="00344843">
        <w:rPr>
          <w:b/>
        </w:rPr>
        <w:t>Figure S</w:t>
      </w:r>
      <w:r w:rsidRPr="00344843">
        <w:rPr>
          <w:b/>
        </w:rPr>
        <w:t>16</w:t>
      </w:r>
      <w:r w:rsidRPr="00344843">
        <w:t xml:space="preserve"> Typical charge/discharge curves for the first five cycles of H-NDA and NTCDA. </w:t>
      </w:r>
      <w:proofErr w:type="gramStart"/>
      <w:r w:rsidRPr="00344843">
        <w:t>(a) H-NDA; (b) NTCDA.</w:t>
      </w:r>
      <w:proofErr w:type="gramEnd"/>
    </w:p>
    <w:p w:rsidR="0065273B" w:rsidRPr="00344843" w:rsidRDefault="0065273B"/>
    <w:p w:rsidR="0065273B" w:rsidRPr="00344843" w:rsidRDefault="006570AC">
      <w:pPr>
        <w:keepNext/>
        <w:jc w:val="center"/>
      </w:pPr>
      <w:r w:rsidRPr="00344843">
        <w:rPr>
          <w:noProof/>
          <w:lang w:eastAsia="en-US"/>
        </w:rPr>
        <w:lastRenderedPageBreak/>
        <w:drawing>
          <wp:inline distT="0" distB="0" distL="0" distR="0" wp14:anchorId="4D297902" wp14:editId="4B14309F">
            <wp:extent cx="5118735" cy="2025015"/>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207109" cy="2060122"/>
                    </a:xfrm>
                    <a:prstGeom prst="rect">
                      <a:avLst/>
                    </a:prstGeom>
                    <a:noFill/>
                  </pic:spPr>
                </pic:pic>
              </a:graphicData>
            </a:graphic>
          </wp:inline>
        </w:drawing>
      </w:r>
    </w:p>
    <w:p w:rsidR="0065273B" w:rsidRPr="00344843" w:rsidRDefault="006570AC">
      <w:pPr>
        <w:pStyle w:val="Caption"/>
        <w:rPr>
          <w:b/>
        </w:rPr>
      </w:pPr>
      <w:r w:rsidRPr="00344843">
        <w:rPr>
          <w:b/>
        </w:rPr>
        <w:t>Figure S</w:t>
      </w:r>
      <w:r w:rsidRPr="00344843">
        <w:rPr>
          <w:b/>
        </w:rPr>
        <w:t>17</w:t>
      </w:r>
      <w:r w:rsidRPr="00344843">
        <w:rPr>
          <w:b/>
        </w:rPr>
        <w:t xml:space="preserve"> </w:t>
      </w:r>
      <w:r w:rsidRPr="00344843">
        <w:t>Optical images of cell disassembled diaphragm after</w:t>
      </w:r>
      <w:r w:rsidRPr="00344843">
        <w:t xml:space="preserve"> 100 cycles for NTCDA, H-NDA and H-NDA-G.</w:t>
      </w:r>
    </w:p>
    <w:p w:rsidR="0065273B" w:rsidRPr="00344843" w:rsidRDefault="0065273B">
      <w:pPr>
        <w:keepNext/>
        <w:jc w:val="center"/>
      </w:pPr>
    </w:p>
    <w:p w:rsidR="0065273B" w:rsidRPr="00344843" w:rsidRDefault="006570AC">
      <w:pPr>
        <w:keepNext/>
        <w:jc w:val="center"/>
      </w:pPr>
      <w:r w:rsidRPr="00344843">
        <w:rPr>
          <w:noProof/>
          <w:lang w:eastAsia="en-US"/>
        </w:rPr>
        <w:drawing>
          <wp:inline distT="0" distB="0" distL="0" distR="0" wp14:anchorId="609A1701" wp14:editId="12717A00">
            <wp:extent cx="2692400" cy="363156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2705056" cy="364859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18</w:t>
      </w:r>
      <w:r w:rsidRPr="00344843">
        <w:t xml:space="preserve"> NTCDA, H-NDA, and </w:t>
      </w:r>
      <w:r w:rsidRPr="00344843">
        <w:rPr>
          <w:rFonts w:hint="eastAsia"/>
        </w:rPr>
        <w:t>H-NDA-G</w:t>
      </w:r>
      <w:r w:rsidRPr="00344843">
        <w:t xml:space="preserve"> dissolution comparison after 30 days of standing in different solvents.</w:t>
      </w:r>
    </w:p>
    <w:p w:rsidR="0065273B" w:rsidRPr="00344843" w:rsidRDefault="0065273B">
      <w:pPr>
        <w:jc w:val="center"/>
      </w:pPr>
    </w:p>
    <w:p w:rsidR="0065273B" w:rsidRPr="00344843" w:rsidRDefault="0065273B">
      <w:pPr>
        <w:keepNext/>
        <w:jc w:val="center"/>
      </w:pPr>
    </w:p>
    <w:p w:rsidR="0065273B" w:rsidRPr="00344843" w:rsidRDefault="00BC6E9E">
      <w:pPr>
        <w:pStyle w:val="Caption"/>
      </w:pPr>
      <w:r w:rsidRPr="00344843">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98pt;height:231.65pt">
            <v:imagedata r:id="rId26" o:title=""/>
          </v:shape>
        </w:pict>
      </w:r>
    </w:p>
    <w:p w:rsidR="0065273B" w:rsidRPr="00344843" w:rsidRDefault="006570AC">
      <w:pPr>
        <w:pStyle w:val="Caption"/>
      </w:pPr>
      <w:r w:rsidRPr="00344843">
        <w:rPr>
          <w:b/>
        </w:rPr>
        <w:t>Figure S</w:t>
      </w:r>
      <w:r w:rsidRPr="00344843">
        <w:rPr>
          <w:b/>
        </w:rPr>
        <w:t>19</w:t>
      </w:r>
      <w:r w:rsidRPr="00344843">
        <w:t xml:space="preserve"> GITT testing and corresponding K</w:t>
      </w:r>
      <w:r w:rsidRPr="00344843">
        <w:rPr>
          <w:vertAlign w:val="superscript"/>
        </w:rPr>
        <w:t>+</w:t>
      </w:r>
      <w:r w:rsidRPr="00344843">
        <w:t xml:space="preserve"> diffusion coefficients of </w:t>
      </w:r>
      <w:r w:rsidRPr="00344843">
        <w:rPr>
          <w:rFonts w:hint="eastAsia"/>
        </w:rPr>
        <w:t>H-NDA-G</w:t>
      </w:r>
      <w:r w:rsidRPr="00344843">
        <w:t xml:space="preserve"> electrode</w:t>
      </w:r>
      <w:r w:rsidRPr="00344843">
        <w:rPr>
          <w:rFonts w:hint="eastAsia"/>
        </w:rPr>
        <w:t>.</w:t>
      </w:r>
    </w:p>
    <w:p w:rsidR="0065273B" w:rsidRPr="00344843" w:rsidRDefault="00BC6E9E">
      <w:pPr>
        <w:keepNext/>
        <w:jc w:val="center"/>
      </w:pPr>
      <w:r w:rsidRPr="00344843">
        <w:pict>
          <v:shape id="_x0000_i1026" type="#_x0000_t75" style="width:386.85pt;height:232.55pt">
            <v:imagedata r:id="rId27" o:title=""/>
          </v:shape>
        </w:pict>
      </w:r>
    </w:p>
    <w:p w:rsidR="0065273B" w:rsidRPr="00344843" w:rsidRDefault="006570AC">
      <w:pPr>
        <w:pStyle w:val="Caption"/>
      </w:pPr>
      <w:r w:rsidRPr="00344843">
        <w:rPr>
          <w:b/>
        </w:rPr>
        <w:t>Figure S</w:t>
      </w:r>
      <w:r w:rsidRPr="00344843">
        <w:rPr>
          <w:b/>
        </w:rPr>
        <w:t>20</w:t>
      </w:r>
      <w:r w:rsidRPr="00344843">
        <w:rPr>
          <w:b/>
        </w:rPr>
        <w:t xml:space="preserve"> </w:t>
      </w:r>
      <w:r w:rsidRPr="00344843">
        <w:t>GITT testing and corresponding K</w:t>
      </w:r>
      <w:r w:rsidRPr="00344843">
        <w:rPr>
          <w:vertAlign w:val="superscript"/>
        </w:rPr>
        <w:t>+</w:t>
      </w:r>
      <w:r w:rsidRPr="00344843">
        <w:t xml:space="preserve"> diffusion coefficients of H-NDA electrode</w:t>
      </w:r>
      <w:r w:rsidRPr="00344843">
        <w:rPr>
          <w:rFonts w:hint="eastAsia"/>
        </w:rPr>
        <w:t>.</w:t>
      </w:r>
    </w:p>
    <w:p w:rsidR="0065273B" w:rsidRPr="00344843" w:rsidRDefault="0065273B"/>
    <w:p w:rsidR="0065273B" w:rsidRPr="00344843" w:rsidRDefault="006570AC">
      <w:pPr>
        <w:keepNext/>
      </w:pPr>
      <w:r w:rsidRPr="00344843">
        <w:rPr>
          <w:noProof/>
          <w:lang w:eastAsia="en-US"/>
        </w:rPr>
        <w:lastRenderedPageBreak/>
        <w:drawing>
          <wp:inline distT="0" distB="0" distL="0" distR="0" wp14:anchorId="26621669" wp14:editId="1C028DC4">
            <wp:extent cx="5274310" cy="3738245"/>
            <wp:effectExtent l="0" t="0" r="254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28"/>
                    <a:stretch>
                      <a:fillRect/>
                    </a:stretch>
                  </pic:blipFill>
                  <pic:spPr>
                    <a:xfrm>
                      <a:off x="0" y="0"/>
                      <a:ext cx="5274310" cy="3738245"/>
                    </a:xfrm>
                    <a:prstGeom prst="rect">
                      <a:avLst/>
                    </a:prstGeom>
                  </pic:spPr>
                </pic:pic>
              </a:graphicData>
            </a:graphic>
          </wp:inline>
        </w:drawing>
      </w:r>
    </w:p>
    <w:p w:rsidR="0065273B" w:rsidRPr="00344843" w:rsidRDefault="006570AC">
      <w:pPr>
        <w:pStyle w:val="Caption"/>
        <w:jc w:val="both"/>
        <w:rPr>
          <w:b/>
        </w:rPr>
      </w:pPr>
      <w:r w:rsidRPr="00344843">
        <w:rPr>
          <w:b/>
        </w:rPr>
        <w:t>Figure S</w:t>
      </w:r>
      <w:r w:rsidRPr="00344843">
        <w:rPr>
          <w:b/>
        </w:rPr>
        <w:t>21</w:t>
      </w:r>
      <w:r w:rsidRPr="00344843">
        <w:rPr>
          <w:b/>
        </w:rPr>
        <w:t xml:space="preserve"> </w:t>
      </w:r>
      <w:r w:rsidRPr="00344843">
        <w:t xml:space="preserve">EIS tests of H-NDA and </w:t>
      </w:r>
      <w:r w:rsidRPr="00344843">
        <w:rPr>
          <w:rFonts w:hint="eastAsia"/>
        </w:rPr>
        <w:t>H-NDA-G</w:t>
      </w:r>
      <w:r w:rsidRPr="00344843">
        <w:t xml:space="preserve"> electrodes at different charge-discharge potentials. (a) </w:t>
      </w:r>
      <w:r w:rsidRPr="00344843">
        <w:rPr>
          <w:rFonts w:hint="eastAsia"/>
        </w:rPr>
        <w:t>H-NDA-G</w:t>
      </w:r>
      <w:r w:rsidRPr="00344843">
        <w:t xml:space="preserve">; (b) H-NDA. </w:t>
      </w:r>
    </w:p>
    <w:p w:rsidR="0065273B" w:rsidRPr="00344843" w:rsidRDefault="0065273B"/>
    <w:p w:rsidR="0065273B" w:rsidRPr="00344843" w:rsidRDefault="006570AC">
      <w:pPr>
        <w:keepNext/>
        <w:jc w:val="center"/>
      </w:pPr>
      <w:r w:rsidRPr="00344843">
        <w:rPr>
          <w:rFonts w:hint="eastAsia"/>
          <w:noProof/>
          <w:lang w:eastAsia="en-US"/>
        </w:rPr>
        <w:drawing>
          <wp:inline distT="0" distB="0" distL="114300" distR="114300" wp14:anchorId="290566F4" wp14:editId="4F4B74CF">
            <wp:extent cx="5269865" cy="2261235"/>
            <wp:effectExtent l="0" t="0" r="3175" b="9525"/>
            <wp:docPr id="27" name="图片 27" descr="H-N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H-NDA-2"/>
                    <pic:cNvPicPr>
                      <a:picLocks noChangeAspect="1"/>
                    </pic:cNvPicPr>
                  </pic:nvPicPr>
                  <pic:blipFill>
                    <a:blip r:embed="rId29"/>
                    <a:stretch>
                      <a:fillRect/>
                    </a:stretch>
                  </pic:blipFill>
                  <pic:spPr>
                    <a:xfrm>
                      <a:off x="0" y="0"/>
                      <a:ext cx="5269865" cy="2261235"/>
                    </a:xfrm>
                    <a:prstGeom prst="rect">
                      <a:avLst/>
                    </a:prstGeom>
                  </pic:spPr>
                </pic:pic>
              </a:graphicData>
            </a:graphic>
          </wp:inline>
        </w:drawing>
      </w:r>
    </w:p>
    <w:p w:rsidR="0065273B" w:rsidRPr="00344843" w:rsidRDefault="006570AC">
      <w:pPr>
        <w:pStyle w:val="Caption"/>
        <w:spacing w:line="360" w:lineRule="auto"/>
      </w:pPr>
      <w:r w:rsidRPr="00344843">
        <w:rPr>
          <w:b/>
        </w:rPr>
        <w:t>Figure S</w:t>
      </w:r>
      <w:r w:rsidRPr="00344843">
        <w:rPr>
          <w:b/>
        </w:rPr>
        <w:t>22</w:t>
      </w:r>
      <w:r w:rsidRPr="00344843">
        <w:t xml:space="preserve"> Evolution of in situ FTIR peaks corresponding to the first four cycles of </w:t>
      </w:r>
      <w:r w:rsidRPr="00344843">
        <w:rPr>
          <w:rFonts w:hint="eastAsia"/>
        </w:rPr>
        <w:t>H-NDA</w:t>
      </w:r>
      <w:r w:rsidRPr="00344843">
        <w:t xml:space="preserve"> </w:t>
      </w:r>
    </w:p>
    <w:p w:rsidR="0065273B" w:rsidRPr="00344843" w:rsidRDefault="0065273B"/>
    <w:p w:rsidR="0065273B" w:rsidRPr="00344843" w:rsidRDefault="0065273B"/>
    <w:p w:rsidR="0065273B" w:rsidRPr="00344843" w:rsidRDefault="0065273B"/>
    <w:p w:rsidR="0065273B" w:rsidRPr="00344843" w:rsidRDefault="0065273B">
      <w:pPr>
        <w:jc w:val="center"/>
      </w:pPr>
    </w:p>
    <w:p w:rsidR="0065273B" w:rsidRPr="00344843" w:rsidRDefault="006570AC">
      <w:pPr>
        <w:keepNext/>
        <w:jc w:val="center"/>
      </w:pPr>
      <w:r w:rsidRPr="00344843">
        <w:rPr>
          <w:noProof/>
          <w:lang w:eastAsia="en-US"/>
        </w:rPr>
        <w:lastRenderedPageBreak/>
        <w:drawing>
          <wp:inline distT="0" distB="0" distL="0" distR="0" wp14:anchorId="1CCCFEB2" wp14:editId="7F53AFCD">
            <wp:extent cx="4015740" cy="322707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026182" cy="3235139"/>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23</w:t>
      </w:r>
      <w:r w:rsidRPr="00344843">
        <w:t xml:space="preserve"> H-NDA XPS binding energy changes at different potentials. (a) O1s spectrum (b) N 1s spectrum.</w:t>
      </w:r>
    </w:p>
    <w:p w:rsidR="0065273B" w:rsidRPr="00344843" w:rsidRDefault="0065273B"/>
    <w:p w:rsidR="0065273B" w:rsidRPr="00344843" w:rsidRDefault="00BC6E9E">
      <w:pPr>
        <w:pStyle w:val="Caption"/>
        <w:keepNext/>
      </w:pPr>
      <w:r w:rsidRPr="00344843">
        <w:pict>
          <v:shape id="_x0000_i1025" type="#_x0000_t75" style="width:169.05pt;height:314.85pt">
            <v:imagedata r:id="rId31" o:title=""/>
          </v:shape>
        </w:pict>
      </w:r>
    </w:p>
    <w:p w:rsidR="0065273B" w:rsidRPr="00344843" w:rsidRDefault="006570AC">
      <w:pPr>
        <w:pStyle w:val="Caption"/>
        <w:rPr>
          <w:b/>
        </w:rPr>
      </w:pPr>
      <w:r w:rsidRPr="00344843">
        <w:rPr>
          <w:b/>
        </w:rPr>
        <w:t>Figure S</w:t>
      </w:r>
      <w:r w:rsidRPr="00344843">
        <w:rPr>
          <w:b/>
        </w:rPr>
        <w:t>24</w:t>
      </w:r>
      <w:r w:rsidRPr="00344843">
        <w:t xml:space="preserve"> H-NDA XPS binding energy changes at different potentials </w:t>
      </w:r>
      <w:r w:rsidRPr="00344843">
        <w:rPr>
          <w:rFonts w:hint="eastAsia"/>
        </w:rPr>
        <w:t>for</w:t>
      </w:r>
      <w:r w:rsidRPr="00344843">
        <w:t xml:space="preserve"> C1s s</w:t>
      </w:r>
      <w:r w:rsidRPr="00344843">
        <w:t>pectrum.</w:t>
      </w:r>
    </w:p>
    <w:p w:rsidR="0065273B" w:rsidRPr="00344843" w:rsidRDefault="0065273B"/>
    <w:p w:rsidR="0065273B" w:rsidRPr="00344843" w:rsidRDefault="0065273B"/>
    <w:p w:rsidR="0065273B" w:rsidRPr="00344843" w:rsidRDefault="0065273B"/>
    <w:p w:rsidR="0065273B" w:rsidRPr="00344843" w:rsidRDefault="006570AC">
      <w:pPr>
        <w:pStyle w:val="Caption"/>
        <w:rPr>
          <w:b/>
        </w:rPr>
      </w:pPr>
      <w:r w:rsidRPr="00344843">
        <w:rPr>
          <w:noProof/>
          <w:lang w:eastAsia="en-US"/>
        </w:rPr>
        <w:drawing>
          <wp:inline distT="0" distB="0" distL="0" distR="0" wp14:anchorId="488C5411" wp14:editId="4A81EF1C">
            <wp:extent cx="4545965" cy="3593465"/>
            <wp:effectExtent l="0" t="0" r="10795" b="317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2"/>
                    <a:stretch>
                      <a:fillRect/>
                    </a:stretch>
                  </pic:blipFill>
                  <pic:spPr>
                    <a:xfrm>
                      <a:off x="0" y="0"/>
                      <a:ext cx="4545965" cy="3593465"/>
                    </a:xfrm>
                    <a:prstGeom prst="rect">
                      <a:avLst/>
                    </a:prstGeom>
                  </pic:spPr>
                </pic:pic>
              </a:graphicData>
            </a:graphic>
          </wp:inline>
        </w:drawing>
      </w:r>
    </w:p>
    <w:p w:rsidR="0065273B" w:rsidRPr="00344843" w:rsidRDefault="006570AC">
      <w:pPr>
        <w:pStyle w:val="Caption"/>
        <w:jc w:val="both"/>
      </w:pPr>
      <w:r w:rsidRPr="00344843">
        <w:rPr>
          <w:b/>
        </w:rPr>
        <w:t>Figure S</w:t>
      </w:r>
      <w:r w:rsidRPr="00344843">
        <w:rPr>
          <w:b/>
        </w:rPr>
        <w:t>25</w:t>
      </w:r>
      <w:r w:rsidRPr="00344843">
        <w:rPr>
          <w:b/>
        </w:rPr>
        <w:t xml:space="preserve"> </w:t>
      </w:r>
      <w:r w:rsidRPr="00344843">
        <w:t>Quantitative analysis of surface-dominated K-storage in H-NDA. (a) CV curves of H-NDA at various scan rates of 0.2 to 1 mV s</w:t>
      </w:r>
      <w:r w:rsidRPr="00344843">
        <w:rPr>
          <w:vertAlign w:val="superscript"/>
        </w:rPr>
        <w:t>–1</w:t>
      </w:r>
      <w:r w:rsidRPr="00344843">
        <w:t>;(b) Contribution of the surface process at scan rate of 1 mV s</w:t>
      </w:r>
      <w:r w:rsidRPr="00344843">
        <w:rPr>
          <w:vertAlign w:val="superscript"/>
        </w:rPr>
        <w:t>–1</w:t>
      </w:r>
      <w:r w:rsidRPr="00344843">
        <w:t xml:space="preserve"> in H-NDA. (c) b value determination (d) Contribution of the surface process in the </w:t>
      </w:r>
      <w:r w:rsidRPr="00344843">
        <w:rPr>
          <w:rFonts w:hint="eastAsia"/>
        </w:rPr>
        <w:t>H-NDA-G</w:t>
      </w:r>
      <w:r w:rsidRPr="00344843">
        <w:t xml:space="preserve"> at different scan rates.</w:t>
      </w:r>
    </w:p>
    <w:p w:rsidR="0065273B" w:rsidRPr="00344843" w:rsidRDefault="006570AC">
      <w:pPr>
        <w:pStyle w:val="Caption"/>
        <w:rPr>
          <w:b/>
        </w:rPr>
      </w:pPr>
      <w:r w:rsidRPr="00344843">
        <w:rPr>
          <w:b/>
          <w:noProof/>
          <w:lang w:eastAsia="en-US"/>
        </w:rPr>
        <w:lastRenderedPageBreak/>
        <w:drawing>
          <wp:inline distT="0" distB="0" distL="0" distR="0" wp14:anchorId="75BEE454" wp14:editId="374A5E95">
            <wp:extent cx="4466590" cy="3649345"/>
            <wp:effectExtent l="0" t="0" r="13970" b="825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3"/>
                    <a:stretch>
                      <a:fillRect/>
                    </a:stretch>
                  </pic:blipFill>
                  <pic:spPr>
                    <a:xfrm>
                      <a:off x="0" y="0"/>
                      <a:ext cx="4466590" cy="3649345"/>
                    </a:xfrm>
                    <a:prstGeom prst="rect">
                      <a:avLst/>
                    </a:prstGeom>
                  </pic:spPr>
                </pic:pic>
              </a:graphicData>
            </a:graphic>
          </wp:inline>
        </w:drawing>
      </w:r>
      <w:r w:rsidRPr="00344843">
        <w:rPr>
          <w:b/>
        </w:rPr>
        <w:t xml:space="preserve"> </w:t>
      </w:r>
    </w:p>
    <w:p w:rsidR="0065273B" w:rsidRPr="00344843" w:rsidRDefault="006570AC">
      <w:pPr>
        <w:pStyle w:val="Caption"/>
      </w:pPr>
      <w:r w:rsidRPr="00344843">
        <w:rPr>
          <w:b/>
        </w:rPr>
        <w:t>Figure S</w:t>
      </w:r>
      <w:r w:rsidRPr="00344843">
        <w:rPr>
          <w:b/>
        </w:rPr>
        <w:t>26</w:t>
      </w:r>
      <w:r w:rsidRPr="00344843">
        <w:rPr>
          <w:b/>
        </w:rPr>
        <w:t xml:space="preserve"> </w:t>
      </w:r>
      <w:r w:rsidRPr="00344843">
        <w:t xml:space="preserve">Quantitative analysis of surface-dominated K-storage in </w:t>
      </w:r>
      <w:r w:rsidRPr="00344843">
        <w:rPr>
          <w:rFonts w:hint="eastAsia"/>
        </w:rPr>
        <w:t>H-NDA-G</w:t>
      </w:r>
      <w:r w:rsidRPr="00344843">
        <w:t xml:space="preserve">. (a) CV curves of </w:t>
      </w:r>
      <w:r w:rsidRPr="00344843">
        <w:rPr>
          <w:rFonts w:hint="eastAsia"/>
        </w:rPr>
        <w:t>H-NDA-G</w:t>
      </w:r>
      <w:r w:rsidRPr="00344843">
        <w:t xml:space="preserve"> at vario</w:t>
      </w:r>
      <w:r w:rsidRPr="00344843">
        <w:t>us scan rates of 0.2 to 1 mV s</w:t>
      </w:r>
      <w:r w:rsidRPr="00344843">
        <w:rPr>
          <w:vertAlign w:val="superscript"/>
        </w:rPr>
        <w:t>–1</w:t>
      </w:r>
      <w:r w:rsidRPr="00344843">
        <w:t>;(b) Contribution of the surface process at scan rate of 1 mV s</w:t>
      </w:r>
      <w:r w:rsidRPr="00344843">
        <w:rPr>
          <w:vertAlign w:val="superscript"/>
        </w:rPr>
        <w:t>–1</w:t>
      </w:r>
      <w:r w:rsidRPr="00344843">
        <w:t xml:space="preserve"> in H-NDA. (c) b value determination (d) Contribution of the surface process in the </w:t>
      </w:r>
      <w:r w:rsidRPr="00344843">
        <w:rPr>
          <w:rFonts w:hint="eastAsia"/>
        </w:rPr>
        <w:t>H-NDA-G</w:t>
      </w:r>
      <w:r w:rsidRPr="00344843">
        <w:t xml:space="preserve"> at different scan rates.</w:t>
      </w:r>
    </w:p>
    <w:p w:rsidR="0065273B" w:rsidRPr="00344843" w:rsidRDefault="006570AC">
      <w:pPr>
        <w:keepNext/>
        <w:jc w:val="center"/>
      </w:pPr>
      <w:r w:rsidRPr="00344843">
        <w:rPr>
          <w:noProof/>
          <w:lang w:eastAsia="en-US"/>
        </w:rPr>
        <w:drawing>
          <wp:inline distT="0" distB="0" distL="0" distR="0" wp14:anchorId="3B1B3B8B" wp14:editId="1EC80CEE">
            <wp:extent cx="5274310" cy="2807335"/>
            <wp:effectExtent l="0" t="0" r="254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4"/>
                    <a:stretch>
                      <a:fillRect/>
                    </a:stretch>
                  </pic:blipFill>
                  <pic:spPr>
                    <a:xfrm>
                      <a:off x="0" y="0"/>
                      <a:ext cx="5274310" cy="2807335"/>
                    </a:xfrm>
                    <a:prstGeom prst="rect">
                      <a:avLst/>
                    </a:prstGeom>
                  </pic:spPr>
                </pic:pic>
              </a:graphicData>
            </a:graphic>
          </wp:inline>
        </w:drawing>
      </w:r>
    </w:p>
    <w:p w:rsidR="0065273B" w:rsidRPr="00344843" w:rsidRDefault="006570AC">
      <w:pPr>
        <w:pStyle w:val="Caption"/>
      </w:pPr>
      <w:r w:rsidRPr="00344843">
        <w:rPr>
          <w:b/>
        </w:rPr>
        <w:t>Figure S</w:t>
      </w:r>
      <w:r w:rsidRPr="00344843">
        <w:rPr>
          <w:b/>
        </w:rPr>
        <w:t>27</w:t>
      </w:r>
      <w:r w:rsidRPr="00344843">
        <w:t xml:space="preserve"> SE</w:t>
      </w:r>
      <w:r w:rsidRPr="00344843">
        <w:t xml:space="preserve">M images of the initial electrodes and after cycling for 100 and </w:t>
      </w:r>
      <w:r w:rsidRPr="00344843">
        <w:rPr>
          <w:rFonts w:hint="eastAsia"/>
        </w:rPr>
        <w:t>2</w:t>
      </w:r>
      <w:r w:rsidRPr="00344843">
        <w:t xml:space="preserve">00 cycles for H-NDA </w:t>
      </w:r>
    </w:p>
    <w:p w:rsidR="0065273B" w:rsidRPr="00344843" w:rsidRDefault="006570AC">
      <w:pPr>
        <w:pStyle w:val="Caption"/>
      </w:pPr>
      <w:r w:rsidRPr="00344843">
        <w:t xml:space="preserve">and </w:t>
      </w:r>
      <w:r w:rsidRPr="00344843">
        <w:rPr>
          <w:rFonts w:hint="eastAsia"/>
        </w:rPr>
        <w:t>H-NDA-G</w:t>
      </w:r>
      <w:r w:rsidRPr="00344843">
        <w:t xml:space="preserve"> electrodes. </w:t>
      </w:r>
    </w:p>
    <w:p w:rsidR="0065273B" w:rsidRPr="00344843" w:rsidRDefault="0065273B"/>
    <w:p w:rsidR="0065273B" w:rsidRPr="00344843" w:rsidRDefault="0065273B"/>
    <w:p w:rsidR="0065273B" w:rsidRPr="00344843" w:rsidRDefault="006570AC">
      <w:pPr>
        <w:keepNext/>
        <w:jc w:val="center"/>
      </w:pPr>
      <w:r w:rsidRPr="00344843">
        <w:rPr>
          <w:noProof/>
          <w:lang w:eastAsia="en-US"/>
        </w:rPr>
        <w:lastRenderedPageBreak/>
        <w:drawing>
          <wp:inline distT="0" distB="0" distL="0" distR="0" wp14:anchorId="7BA4BA3C" wp14:editId="79897D57">
            <wp:extent cx="5476875" cy="2584450"/>
            <wp:effectExtent l="0" t="0" r="9525" b="635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504903" cy="2597673"/>
                    </a:xfrm>
                    <a:prstGeom prst="rect">
                      <a:avLst/>
                    </a:prstGeom>
                    <a:noFill/>
                  </pic:spPr>
                </pic:pic>
              </a:graphicData>
            </a:graphic>
          </wp:inline>
        </w:drawing>
      </w:r>
    </w:p>
    <w:p w:rsidR="0065273B" w:rsidRPr="00344843" w:rsidRDefault="006570AC">
      <w:pPr>
        <w:pStyle w:val="Caption"/>
      </w:pPr>
      <w:r w:rsidRPr="00344843">
        <w:rPr>
          <w:b/>
        </w:rPr>
        <w:t>Figure S</w:t>
      </w:r>
      <w:r w:rsidRPr="00344843">
        <w:rPr>
          <w:b/>
        </w:rPr>
        <w:t>28</w:t>
      </w:r>
      <w:r w:rsidRPr="00344843">
        <w:t xml:space="preserve"> Comparison of HOMO-LUMO energy levels for different electrodes.</w:t>
      </w:r>
    </w:p>
    <w:p w:rsidR="0065273B" w:rsidRPr="00344843" w:rsidRDefault="006570AC">
      <w:pPr>
        <w:jc w:val="center"/>
      </w:pPr>
      <w:r w:rsidRPr="00344843">
        <w:rPr>
          <w:b/>
          <w:noProof/>
          <w:lang w:eastAsia="en-US"/>
        </w:rPr>
        <w:drawing>
          <wp:inline distT="0" distB="0" distL="0" distR="0" wp14:anchorId="2A9A61E0" wp14:editId="7FA99E2C">
            <wp:extent cx="3437890" cy="1905000"/>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3512390" cy="1946248"/>
                    </a:xfrm>
                    <a:prstGeom prst="rect">
                      <a:avLst/>
                    </a:prstGeom>
                    <a:noFill/>
                  </pic:spPr>
                </pic:pic>
              </a:graphicData>
            </a:graphic>
          </wp:inline>
        </w:drawing>
      </w:r>
    </w:p>
    <w:p w:rsidR="0065273B" w:rsidRPr="00344843" w:rsidRDefault="006570AC">
      <w:pPr>
        <w:pStyle w:val="Caption"/>
        <w:rPr>
          <w:b/>
        </w:rPr>
      </w:pPr>
      <w:r w:rsidRPr="00344843">
        <w:rPr>
          <w:b/>
        </w:rPr>
        <w:t>Figure S</w:t>
      </w:r>
      <w:r w:rsidRPr="00344843">
        <w:rPr>
          <w:b/>
        </w:rPr>
        <w:t>29</w:t>
      </w:r>
      <w:r w:rsidRPr="00344843">
        <w:rPr>
          <w:b/>
        </w:rPr>
        <w:t xml:space="preserve"> Surface Electrostatic Potential Distribution of H-NDA.</w:t>
      </w:r>
    </w:p>
    <w:p w:rsidR="0065273B" w:rsidRPr="00344843" w:rsidRDefault="0065273B"/>
    <w:p w:rsidR="0065273B" w:rsidRPr="00344843" w:rsidRDefault="0065273B"/>
    <w:p w:rsidR="0065273B" w:rsidRPr="00344843" w:rsidRDefault="006570AC">
      <w:pPr>
        <w:keepNext/>
        <w:jc w:val="center"/>
      </w:pPr>
      <w:r w:rsidRPr="00344843">
        <w:rPr>
          <w:rFonts w:hint="eastAsia"/>
          <w:noProof/>
          <w:lang w:eastAsia="en-US"/>
        </w:rPr>
        <w:drawing>
          <wp:inline distT="0" distB="0" distL="114300" distR="114300" wp14:anchorId="2925E8FC" wp14:editId="2E67CDB6">
            <wp:extent cx="5273040" cy="2220595"/>
            <wp:effectExtent l="0" t="0" r="0" b="4445"/>
            <wp:docPr id="30" name="图片 30" descr="H-NDA及H-NDA@GO-DOS对比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H-NDA及H-NDA@GO-DOS对比图"/>
                    <pic:cNvPicPr>
                      <a:picLocks noChangeAspect="1"/>
                    </pic:cNvPicPr>
                  </pic:nvPicPr>
                  <pic:blipFill>
                    <a:blip r:embed="rId37"/>
                    <a:stretch>
                      <a:fillRect/>
                    </a:stretch>
                  </pic:blipFill>
                  <pic:spPr>
                    <a:xfrm>
                      <a:off x="0" y="0"/>
                      <a:ext cx="5273040" cy="2220595"/>
                    </a:xfrm>
                    <a:prstGeom prst="rect">
                      <a:avLst/>
                    </a:prstGeom>
                  </pic:spPr>
                </pic:pic>
              </a:graphicData>
            </a:graphic>
          </wp:inline>
        </w:drawing>
      </w:r>
    </w:p>
    <w:p w:rsidR="0065273B" w:rsidRPr="00344843" w:rsidRDefault="006570AC">
      <w:pPr>
        <w:pStyle w:val="Caption"/>
      </w:pPr>
      <w:proofErr w:type="gramStart"/>
      <w:r w:rsidRPr="00344843">
        <w:rPr>
          <w:b/>
        </w:rPr>
        <w:t>Figure S</w:t>
      </w:r>
      <w:r w:rsidRPr="00344843">
        <w:rPr>
          <w:b/>
        </w:rPr>
        <w:t>30</w:t>
      </w:r>
      <w:r w:rsidRPr="00344843">
        <w:t xml:space="preserve"> H-NDA and </w:t>
      </w:r>
      <w:r w:rsidRPr="00344843">
        <w:rPr>
          <w:rFonts w:hint="eastAsia"/>
        </w:rPr>
        <w:t>H-NDA-G</w:t>
      </w:r>
      <w:r w:rsidRPr="00344843">
        <w:t xml:space="preserve"> DOS and PDOS.</w:t>
      </w:r>
      <w:proofErr w:type="gramEnd"/>
      <w:r w:rsidRPr="00344843">
        <w:t xml:space="preserve"> (a) H-NDA. (b) </w:t>
      </w:r>
      <w:r w:rsidRPr="00344843">
        <w:rPr>
          <w:rFonts w:hint="eastAsia"/>
        </w:rPr>
        <w:t>H-NDA-G</w:t>
      </w:r>
      <w:r w:rsidRPr="00344843">
        <w:t>.</w:t>
      </w:r>
    </w:p>
    <w:p w:rsidR="0065273B" w:rsidRPr="00344843" w:rsidRDefault="0065273B"/>
    <w:p w:rsidR="0065273B" w:rsidRPr="00344843" w:rsidRDefault="006570AC">
      <w:pPr>
        <w:pStyle w:val="Heading3"/>
        <w:jc w:val="both"/>
        <w:rPr>
          <w:rFonts w:ascii="Times New Roman" w:hAnsi="Times New Roman" w:cs="Times New Roman"/>
          <w:color w:val="auto"/>
        </w:rPr>
      </w:pPr>
      <w:r w:rsidRPr="00344843">
        <w:rPr>
          <w:rFonts w:ascii="Times New Roman" w:hAnsi="Times New Roman" w:cs="Times New Roman" w:hint="eastAsia"/>
          <w:color w:val="auto"/>
          <w:lang w:eastAsia="zh-CN"/>
        </w:rPr>
        <w:t>Supporting Note1</w:t>
      </w:r>
      <w:r w:rsidRPr="00344843">
        <w:rPr>
          <w:rFonts w:ascii="Times New Roman" w:hAnsi="Times New Roman" w:cs="Times New Roman"/>
          <w:color w:val="auto"/>
        </w:rPr>
        <w:t>:</w:t>
      </w:r>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 xml:space="preserve">The derivation process of the combined flux formula integrates the Nernst-Planck equation with the principle of charge conservation to describe the synergistic migration behavior of ions and electrons in the </w:t>
      </w:r>
      <w:r w:rsidRPr="00344843">
        <w:rPr>
          <w:rFonts w:ascii="Times New Roman" w:hAnsi="Times New Roman" w:cs="Times New Roman" w:hint="eastAsia"/>
        </w:rPr>
        <w:t>H-NDA-G</w:t>
      </w:r>
      <w:r w:rsidRPr="00344843">
        <w:rPr>
          <w:rFonts w:ascii="Times New Roman" w:hAnsi="Times New Roman" w:cs="Times New Roman"/>
          <w:lang w:eastAsia="en-US"/>
        </w:rPr>
        <w:t xml:space="preserve"> heterostructure. This process is based o</w:t>
      </w:r>
      <w:r w:rsidRPr="00344843">
        <w:rPr>
          <w:rFonts w:ascii="Times New Roman" w:hAnsi="Times New Roman" w:cs="Times New Roman"/>
          <w:lang w:eastAsia="en-US"/>
        </w:rPr>
        <w:t>n the following principles:</w:t>
      </w:r>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1. The migration of both ions and electrons is driven by the electrochemical potential, which includes the chemical potential (induced by concentration) and the electric potential (induced by the electric field).</w:t>
      </w:r>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 xml:space="preserve">2. The flux of </w:t>
      </w:r>
      <w:r w:rsidRPr="00344843">
        <w:rPr>
          <w:rFonts w:ascii="Times New Roman" w:hAnsi="Times New Roman" w:cs="Times New Roman"/>
          <w:lang w:eastAsia="en-US"/>
        </w:rPr>
        <w:t>ions and electrons can be described by their respective conductivities and gradients of electrochemical potential, with ions typically migrating within the electrolyte phase and electrons within the conductive phase.</w:t>
      </w:r>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3. In an electrochemical system, the mi</w:t>
      </w:r>
      <w:r w:rsidRPr="00344843">
        <w:rPr>
          <w:rFonts w:ascii="Times New Roman" w:hAnsi="Times New Roman" w:cs="Times New Roman"/>
          <w:lang w:eastAsia="en-US"/>
        </w:rPr>
        <w:t>gration of electrons and ions must be coordinated, that is, to satisfy the conservation of charge. This means that the ion flux through one phase must be equal to the electron flux through another phase without significant accumulation of charge.</w:t>
      </w:r>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4. In a h</w:t>
      </w:r>
      <w:r w:rsidRPr="00344843">
        <w:rPr>
          <w:rFonts w:ascii="Times New Roman" w:hAnsi="Times New Roman" w:cs="Times New Roman"/>
          <w:lang w:eastAsia="en-US"/>
        </w:rPr>
        <w:t>eterostructure, there may be a difference in electric potential between different phases, hence the expression for the overall flux takes this into account, resulting in the total flux of ions and electrons.</w:t>
      </w:r>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 xml:space="preserve">Therefore, in the </w:t>
      </w:r>
      <w:r w:rsidRPr="00344843">
        <w:rPr>
          <w:rFonts w:ascii="Times New Roman" w:hAnsi="Times New Roman" w:cs="Times New Roman" w:hint="eastAsia"/>
        </w:rPr>
        <w:t>H-NDA-G</w:t>
      </w:r>
      <w:r w:rsidRPr="00344843">
        <w:rPr>
          <w:rFonts w:ascii="Times New Roman" w:hAnsi="Times New Roman" w:cs="Times New Roman"/>
          <w:lang w:eastAsia="en-US"/>
        </w:rPr>
        <w:t xml:space="preserve"> heterostructure, ions </w:t>
      </w:r>
      <w:r w:rsidRPr="00344843">
        <w:rPr>
          <w:rFonts w:ascii="Times New Roman" w:hAnsi="Times New Roman" w:cs="Times New Roman"/>
          <w:lang w:eastAsia="en-US"/>
        </w:rPr>
        <w:t>and electrons are transported in different phases, and their fluxes are described by the following equations:</w:t>
      </w:r>
    </w:p>
    <w:p w:rsidR="0065273B" w:rsidRPr="00344843" w:rsidRDefault="006570AC">
      <w:pPr>
        <w:pStyle w:val="ListParagraph"/>
        <w:widowControl/>
        <w:numPr>
          <w:ilvl w:val="0"/>
          <w:numId w:val="1"/>
        </w:numPr>
        <w:spacing w:after="200"/>
        <w:ind w:firstLineChars="0"/>
        <w:rPr>
          <w:rFonts w:ascii="Times New Roman" w:hAnsi="Times New Roman" w:cs="Times New Roman"/>
        </w:rPr>
      </w:pPr>
      <w:r w:rsidRPr="00344843">
        <w:rPr>
          <w:rFonts w:ascii="Times New Roman" w:hAnsi="Times New Roman" w:cs="Times New Roman"/>
          <w:b/>
          <w:bCs/>
        </w:rPr>
        <w:t>Ion Flux</w:t>
      </w:r>
      <w:r w:rsidRPr="00344843">
        <w:rPr>
          <w:rFonts w:ascii="Times New Roman" w:hAnsi="Times New Roman" w:cs="Times New Roman"/>
        </w:rPr>
        <w:t>: In phase (</w:t>
      </w:r>
      <m:oMath>
        <m:r>
          <w:rPr>
            <w:rFonts w:ascii="Cambria Math" w:hAnsi="Cambria Math" w:cs="Times New Roman"/>
          </w:rPr>
          <m:t>α</m:t>
        </m:r>
      </m:oMath>
      <w:r w:rsidRPr="00344843">
        <w:rPr>
          <w:rFonts w:ascii="Times New Roman" w:hAnsi="Times New Roman" w:cs="Times New Roman"/>
        </w:rPr>
        <w:t>) (representing H-NDA), the ion flux can be related to the ion conductivity and the gradient of electrochemical potential as</w:t>
      </w:r>
      <w:r w:rsidRPr="00344843">
        <w:rPr>
          <w:rFonts w:ascii="Times New Roman" w:hAnsi="Times New Roman" w:cs="Times New Roman"/>
        </w:rPr>
        <w:t xml:space="preserve"> follows:</w:t>
      </w:r>
    </w:p>
    <w:p w:rsidR="0065273B" w:rsidRPr="00344843" w:rsidRDefault="006570AC">
      <w:pPr>
        <w:widowControl/>
        <w:spacing w:after="200"/>
        <w:ind w:left="720"/>
        <w:rPr>
          <w:rFonts w:ascii="Times New Roman" w:hAnsi="Times New Roman" w:cs="Times New Roman"/>
        </w:rPr>
      </w:pPr>
      <m:oMathPara>
        <m:oMath>
          <m:sSubSup>
            <m:sSubSupPr>
              <m:ctrlPr>
                <w:rPr>
                  <w:rFonts w:ascii="Cambria Math" w:hAnsi="Cambria Math" w:cs="Times New Roman"/>
                </w:rPr>
              </m:ctrlPr>
            </m:sSubSupPr>
            <m:e>
              <m:r>
                <w:rPr>
                  <w:rFonts w:ascii="Cambria Math" w:hAnsi="Cambria Math" w:cs="Times New Roman"/>
                </w:rPr>
                <m:t>j</m:t>
              </m:r>
            </m:e>
            <m:sub>
              <m:r>
                <m:rPr>
                  <m:nor/>
                </m:rPr>
                <w:rPr>
                  <w:rFonts w:ascii="Times New Roman" w:hAnsi="Times New Roman" w:cs="Times New Roman"/>
                </w:rPr>
                <m:t>ion</m:t>
              </m:r>
            </m:sub>
            <m:sup>
              <m:r>
                <w:rPr>
                  <w:rFonts w:ascii="Cambria Math" w:hAnsi="Cambria Math" w:cs="Times New Roman"/>
                </w:rPr>
                <m:t>α</m:t>
              </m:r>
            </m:sup>
          </m:sSubSup>
          <m:r>
            <m:rPr>
              <m:sty m:val="p"/>
            </m:rPr>
            <w:rPr>
              <w:rFonts w:ascii="Cambria Math" w:hAnsi="Cambria Math" w:cs="Times New Roman"/>
            </w:rPr>
            <m:t>=-</m:t>
          </m:r>
          <m:f>
            <m:fPr>
              <m:ctrlPr>
                <w:rPr>
                  <w:rFonts w:ascii="Cambria Math" w:hAnsi="Cambria Math" w:cs="Times New Roman"/>
                </w:rPr>
              </m:ctrlPr>
            </m:fPr>
            <m:num>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ion</m:t>
                  </m:r>
                </m:sub>
                <m:sup>
                  <m:r>
                    <w:rPr>
                      <w:rFonts w:ascii="Cambria Math" w:hAnsi="Cambria Math" w:cs="Times New Roman"/>
                    </w:rPr>
                    <m:t>α</m:t>
                  </m:r>
                </m:sup>
              </m:sSubSup>
            </m:num>
            <m:den>
              <m:sSup>
                <m:sSupPr>
                  <m:ctrlPr>
                    <w:rPr>
                      <w:rFonts w:ascii="Cambria Math" w:hAnsi="Cambria Math" w:cs="Times New Roman"/>
                    </w:rPr>
                  </m:ctrlPr>
                </m:sSupPr>
                <m:e>
                  <m:r>
                    <w:rPr>
                      <w:rFonts w:ascii="Cambria Math" w:hAnsi="Cambria Math" w:cs="Times New Roman"/>
                    </w:rPr>
                    <m:t>F</m:t>
                  </m:r>
                </m:e>
                <m:sup>
                  <m:r>
                    <m:rPr>
                      <m:sty m:val="p"/>
                    </m:rPr>
                    <w:rPr>
                      <w:rFonts w:ascii="Cambria Math" w:hAnsi="Cambria Math" w:cs="Times New Roman"/>
                    </w:rPr>
                    <m:t>2</m:t>
                  </m:r>
                </m:sup>
              </m:sSup>
            </m:den>
          </m:f>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μ</m:t>
              </m:r>
            </m:e>
            <m:sub>
              <m:r>
                <m:rPr>
                  <m:nor/>
                </m:rPr>
                <w:rPr>
                  <w:rFonts w:ascii="Times New Roman" w:hAnsi="Times New Roman" w:cs="Times New Roman"/>
                </w:rPr>
                <m:t>ion</m:t>
              </m:r>
            </m:sub>
            <m:sup>
              <m:r>
                <w:rPr>
                  <w:rFonts w:ascii="Cambria Math" w:hAnsi="Cambria Math" w:cs="Times New Roman"/>
                </w:rPr>
                <m:t>α</m:t>
              </m:r>
            </m:sup>
          </m:sSubSup>
        </m:oMath>
      </m:oMathPara>
    </w:p>
    <w:p w:rsidR="0065273B" w:rsidRPr="00344843" w:rsidRDefault="006570AC">
      <w:pPr>
        <w:pStyle w:val="ListParagraph"/>
        <w:widowControl/>
        <w:numPr>
          <w:ilvl w:val="0"/>
          <w:numId w:val="1"/>
        </w:numPr>
        <w:spacing w:after="200"/>
        <w:ind w:firstLineChars="0"/>
        <w:rPr>
          <w:rFonts w:ascii="Times New Roman" w:hAnsi="Times New Roman" w:cs="Times New Roman"/>
        </w:rPr>
      </w:pPr>
      <w:r w:rsidRPr="00344843">
        <w:rPr>
          <w:rFonts w:ascii="Times New Roman" w:hAnsi="Times New Roman" w:cs="Times New Roman"/>
          <w:b/>
          <w:bCs/>
        </w:rPr>
        <w:t>Electron Flux</w:t>
      </w:r>
      <w:r w:rsidRPr="00344843">
        <w:rPr>
          <w:rFonts w:ascii="Times New Roman" w:hAnsi="Times New Roman" w:cs="Times New Roman"/>
        </w:rPr>
        <w:t>: In phase (</w:t>
      </w:r>
      <m:oMath>
        <m:r>
          <w:rPr>
            <w:rFonts w:ascii="Cambria Math" w:hAnsi="Cambria Math" w:cs="Times New Roman"/>
          </w:rPr>
          <m:t>β</m:t>
        </m:r>
      </m:oMath>
      <w:r w:rsidRPr="00344843">
        <w:rPr>
          <w:rFonts w:ascii="Times New Roman" w:hAnsi="Times New Roman" w:cs="Times New Roman"/>
        </w:rPr>
        <w:t>) (representing rGO), the electron flux is similarly related to the electron conductivity and the gradient of the electrochemical potential:</w:t>
      </w:r>
      <w:r w:rsidRPr="00344843">
        <w:rPr>
          <w:rFonts w:ascii="Times New Roman" w:hAnsi="Times New Roman" w:cs="Times New Roman"/>
        </w:rPr>
        <w:br/>
      </w:r>
      <m:oMathPara>
        <m:oMath>
          <m:sSubSup>
            <m:sSubSupPr>
              <m:ctrlPr>
                <w:rPr>
                  <w:rFonts w:ascii="Cambria Math" w:hAnsi="Cambria Math" w:cs="Times New Roman"/>
                </w:rPr>
              </m:ctrlPr>
            </m:sSubSupPr>
            <m:e>
              <m:r>
                <w:rPr>
                  <w:rFonts w:ascii="Cambria Math" w:hAnsi="Cambria Math" w:cs="Times New Roman"/>
                </w:rPr>
                <m:t>j</m:t>
              </m:r>
            </m:e>
            <m:sub>
              <m:r>
                <m:rPr>
                  <m:nor/>
                </m:rPr>
                <w:rPr>
                  <w:rFonts w:ascii="Times New Roman" w:hAnsi="Times New Roman" w:cs="Times New Roman"/>
                </w:rPr>
                <m:t>eon</m:t>
              </m:r>
            </m:sub>
            <m:sup>
              <m:r>
                <w:rPr>
                  <w:rFonts w:ascii="Cambria Math" w:hAnsi="Cambria Math" w:cs="Times New Roman"/>
                </w:rPr>
                <m:t>β</m:t>
              </m:r>
            </m:sup>
          </m:sSubSup>
          <m:r>
            <m:rPr>
              <m:sty m:val="p"/>
            </m:rPr>
            <w:rPr>
              <w:rFonts w:ascii="Cambria Math" w:hAnsi="Cambria Math" w:cs="Times New Roman"/>
            </w:rPr>
            <m:t>=-</m:t>
          </m:r>
          <m:f>
            <m:fPr>
              <m:ctrlPr>
                <w:rPr>
                  <w:rFonts w:ascii="Cambria Math" w:hAnsi="Cambria Math" w:cs="Times New Roman"/>
                </w:rPr>
              </m:ctrlPr>
            </m:fPr>
            <m:num>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eon</m:t>
                  </m:r>
                </m:sub>
                <m:sup>
                  <m:r>
                    <w:rPr>
                      <w:rFonts w:ascii="Cambria Math" w:hAnsi="Cambria Math" w:cs="Times New Roman"/>
                    </w:rPr>
                    <m:t>β</m:t>
                  </m:r>
                </m:sup>
              </m:sSubSup>
            </m:num>
            <m:den>
              <m:sSup>
                <m:sSupPr>
                  <m:ctrlPr>
                    <w:rPr>
                      <w:rFonts w:ascii="Cambria Math" w:hAnsi="Cambria Math" w:cs="Times New Roman"/>
                    </w:rPr>
                  </m:ctrlPr>
                </m:sSupPr>
                <m:e>
                  <m:r>
                    <w:rPr>
                      <w:rFonts w:ascii="Cambria Math" w:hAnsi="Cambria Math" w:cs="Times New Roman"/>
                    </w:rPr>
                    <m:t>F</m:t>
                  </m:r>
                </m:e>
                <m:sup>
                  <m:r>
                    <m:rPr>
                      <m:sty m:val="p"/>
                    </m:rPr>
                    <w:rPr>
                      <w:rFonts w:ascii="Cambria Math" w:hAnsi="Cambria Math" w:cs="Times New Roman"/>
                    </w:rPr>
                    <m:t>2</m:t>
                  </m:r>
                </m:sup>
              </m:sSup>
            </m:den>
          </m:f>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μ</m:t>
              </m:r>
            </m:e>
            <m:sub>
              <m:r>
                <m:rPr>
                  <m:nor/>
                </m:rPr>
                <w:rPr>
                  <w:rFonts w:ascii="Times New Roman" w:hAnsi="Times New Roman" w:cs="Times New Roman"/>
                </w:rPr>
                <m:t>eon</m:t>
              </m:r>
            </m:sub>
            <m:sup>
              <m:r>
                <w:rPr>
                  <w:rFonts w:ascii="Cambria Math" w:hAnsi="Cambria Math" w:cs="Times New Roman"/>
                </w:rPr>
                <m:t>β</m:t>
              </m:r>
            </m:sup>
          </m:sSubSup>
        </m:oMath>
      </m:oMathPara>
    </w:p>
    <w:p w:rsidR="0065273B" w:rsidRPr="00344843" w:rsidRDefault="006570AC">
      <w:pPr>
        <w:pStyle w:val="BodyText"/>
        <w:rPr>
          <w:rFonts w:ascii="Times New Roman" w:hAnsi="Times New Roman" w:cs="Times New Roman"/>
          <w:lang w:eastAsia="en-US"/>
        </w:rPr>
      </w:pPr>
      <w:r w:rsidRPr="00344843">
        <w:rPr>
          <w:rFonts w:ascii="Times New Roman" w:hAnsi="Times New Roman" w:cs="Times New Roman"/>
          <w:lang w:eastAsia="en-US"/>
        </w:rPr>
        <w:t xml:space="preserve">Where </w:t>
      </w:r>
      <m:oMath>
        <m:sSubSup>
          <m:sSubSupPr>
            <m:ctrlPr>
              <w:rPr>
                <w:rFonts w:ascii="Cambria Math" w:hAnsi="Cambria Math" w:cs="Times New Roman"/>
                <w:lang w:eastAsia="en-US"/>
              </w:rPr>
            </m:ctrlPr>
          </m:sSubSupPr>
          <m:e>
            <m:r>
              <w:rPr>
                <w:rFonts w:ascii="Cambria Math" w:hAnsi="Cambria Math" w:cs="Times New Roman"/>
                <w:lang w:eastAsia="en-US"/>
              </w:rPr>
              <m:t>σ</m:t>
            </m:r>
          </m:e>
          <m:sub>
            <m:r>
              <m:rPr>
                <m:nor/>
              </m:rPr>
              <w:rPr>
                <w:rFonts w:ascii="Cambria Math" w:hAnsi="Cambria Math" w:cs="Times New Roman"/>
                <w:lang w:eastAsia="en-US"/>
              </w:rPr>
              <m:t>ion</m:t>
            </m:r>
          </m:sub>
          <m:sup>
            <m:r>
              <w:rPr>
                <w:rFonts w:ascii="Cambria Math" w:hAnsi="Cambria Math" w:cs="Times New Roman"/>
                <w:lang w:eastAsia="en-US"/>
              </w:rPr>
              <m:t>α</m:t>
            </m:r>
          </m:sup>
        </m:sSubSup>
      </m:oMath>
      <w:r w:rsidRPr="00344843">
        <w:rPr>
          <w:rFonts w:ascii="Times New Roman" w:hAnsi="Times New Roman" w:cs="Times New Roman"/>
          <w:lang w:eastAsia="en-US"/>
        </w:rPr>
        <w:t xml:space="preserve"> and </w:t>
      </w:r>
      <m:oMath>
        <m:sSubSup>
          <m:sSubSupPr>
            <m:ctrlPr>
              <w:rPr>
                <w:rFonts w:ascii="Cambria Math" w:hAnsi="Cambria Math" w:cs="Times New Roman"/>
                <w:lang w:eastAsia="en-US"/>
              </w:rPr>
            </m:ctrlPr>
          </m:sSubSupPr>
          <m:e>
            <m:r>
              <w:rPr>
                <w:rFonts w:ascii="Cambria Math" w:hAnsi="Cambria Math" w:cs="Times New Roman"/>
                <w:lang w:eastAsia="en-US"/>
              </w:rPr>
              <m:t>σ</m:t>
            </m:r>
          </m:e>
          <m:sub>
            <m:r>
              <m:rPr>
                <m:nor/>
              </m:rPr>
              <w:rPr>
                <w:rFonts w:ascii="Cambria Math" w:hAnsi="Cambria Math" w:cs="Times New Roman"/>
                <w:lang w:eastAsia="en-US"/>
              </w:rPr>
              <m:t>eon</m:t>
            </m:r>
          </m:sub>
          <m:sup>
            <m:r>
              <w:rPr>
                <w:rFonts w:ascii="Cambria Math" w:hAnsi="Cambria Math" w:cs="Times New Roman"/>
                <w:lang w:eastAsia="en-US"/>
              </w:rPr>
              <m:t>β</m:t>
            </m:r>
          </m:sup>
        </m:sSubSup>
      </m:oMath>
      <w:r w:rsidRPr="00344843">
        <w:rPr>
          <w:rFonts w:ascii="Times New Roman" w:hAnsi="Times New Roman" w:cs="Times New Roman"/>
          <w:lang w:eastAsia="en-US"/>
        </w:rPr>
        <w:t xml:space="preserve"> are the ionic and electronic conductivities in phases α and β, respectively, and </w:t>
      </w:r>
      <m:oMath>
        <m:r>
          <m:rPr>
            <m:sty m:val="p"/>
          </m:rPr>
          <w:rPr>
            <w:rFonts w:ascii="Cambria Math" w:hAnsi="Cambria Math" w:cs="Times New Roman"/>
            <w:lang w:eastAsia="en-US"/>
          </w:rPr>
          <m:t>∇</m:t>
        </m:r>
        <m:sSubSup>
          <m:sSubSupPr>
            <m:ctrlPr>
              <w:rPr>
                <w:rFonts w:ascii="Cambria Math" w:hAnsi="Cambria Math" w:cs="Times New Roman"/>
                <w:lang w:eastAsia="en-US"/>
              </w:rPr>
            </m:ctrlPr>
          </m:sSubSupPr>
          <m:e>
            <m:r>
              <w:rPr>
                <w:rFonts w:ascii="Cambria Math" w:hAnsi="Cambria Math" w:cs="Times New Roman"/>
                <w:lang w:eastAsia="en-US"/>
              </w:rPr>
              <m:t>μ</m:t>
            </m:r>
          </m:e>
          <m:sub>
            <m:r>
              <m:rPr>
                <m:nor/>
              </m:rPr>
              <w:rPr>
                <w:rFonts w:ascii="Cambria Math" w:hAnsi="Cambria Math" w:cs="Times New Roman"/>
                <w:lang w:eastAsia="en-US"/>
              </w:rPr>
              <m:t>ion</m:t>
            </m:r>
          </m:sub>
          <m:sup>
            <m:r>
              <w:rPr>
                <w:rFonts w:ascii="Cambria Math" w:hAnsi="Cambria Math" w:cs="Times New Roman"/>
                <w:lang w:eastAsia="en-US"/>
              </w:rPr>
              <m:t>α</m:t>
            </m:r>
          </m:sup>
        </m:sSubSup>
      </m:oMath>
      <w:r w:rsidRPr="00344843">
        <w:rPr>
          <w:rFonts w:ascii="Times New Roman" w:hAnsi="Times New Roman" w:cs="Times New Roman"/>
          <w:lang w:eastAsia="en-US"/>
        </w:rPr>
        <w:t xml:space="preserve"> and</w:t>
      </w:r>
      <m:oMath>
        <m:r>
          <m:rPr>
            <m:sty m:val="p"/>
          </m:rPr>
          <w:rPr>
            <w:rFonts w:ascii="Cambria Math" w:hAnsi="Cambria Math" w:cs="Times New Roman"/>
            <w:lang w:eastAsia="en-US"/>
          </w:rPr>
          <m:t xml:space="preserve"> ∇</m:t>
        </m:r>
        <m:sSubSup>
          <m:sSubSupPr>
            <m:ctrlPr>
              <w:rPr>
                <w:rFonts w:ascii="Cambria Math" w:hAnsi="Cambria Math" w:cs="Times New Roman"/>
                <w:lang w:eastAsia="en-US"/>
              </w:rPr>
            </m:ctrlPr>
          </m:sSubSupPr>
          <m:e>
            <m:r>
              <w:rPr>
                <w:rFonts w:ascii="Cambria Math" w:hAnsi="Cambria Math" w:cs="Times New Roman"/>
                <w:lang w:eastAsia="en-US"/>
              </w:rPr>
              <m:t>μ</m:t>
            </m:r>
          </m:e>
          <m:sub>
            <m:r>
              <m:rPr>
                <m:nor/>
              </m:rPr>
              <w:rPr>
                <w:rFonts w:ascii="Cambria Math" w:hAnsi="Cambria Math" w:cs="Times New Roman"/>
                <w:lang w:eastAsia="en-US"/>
              </w:rPr>
              <m:t>eon</m:t>
            </m:r>
          </m:sub>
          <m:sup>
            <m:r>
              <w:rPr>
                <w:rFonts w:ascii="Cambria Math" w:hAnsi="Cambria Math" w:cs="Times New Roman"/>
                <w:lang w:eastAsia="en-US"/>
              </w:rPr>
              <m:t>β</m:t>
            </m:r>
          </m:sup>
        </m:sSubSup>
      </m:oMath>
      <w:r w:rsidRPr="00344843">
        <w:rPr>
          <w:rFonts w:ascii="Times New Roman" w:hAnsi="Times New Roman" w:cs="Times New Roman"/>
          <w:lang w:eastAsia="en-US"/>
        </w:rPr>
        <w:t xml:space="preserve"> are the gradients of the electrochemical potentials for ions and electrons.</w:t>
      </w:r>
    </w:p>
    <w:p w:rsidR="0065273B" w:rsidRPr="00344843" w:rsidRDefault="006570AC">
      <w:pPr>
        <w:widowControl/>
        <w:numPr>
          <w:ilvl w:val="0"/>
          <w:numId w:val="1"/>
        </w:numPr>
        <w:spacing w:after="200"/>
        <w:rPr>
          <w:rFonts w:ascii="Times New Roman" w:hAnsi="Times New Roman" w:cs="Times New Roman"/>
        </w:rPr>
      </w:pPr>
      <w:r w:rsidRPr="00344843">
        <w:rPr>
          <w:rFonts w:ascii="Times New Roman" w:hAnsi="Times New Roman" w:cs="Times New Roman"/>
          <w:b/>
          <w:bCs/>
        </w:rPr>
        <w:t>Charge Conservation</w:t>
      </w:r>
      <w:r w:rsidRPr="00344843">
        <w:rPr>
          <w:rFonts w:ascii="Times New Roman" w:hAnsi="Times New Roman" w:cs="Times New Roman"/>
        </w:rPr>
        <w:t xml:space="preserve">: According to the law of charge conservation, the flux of the charge carrier ( </w:t>
      </w:r>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M</m:t>
            </m:r>
          </m:sub>
        </m:sSub>
      </m:oMath>
      <w:r w:rsidRPr="00344843">
        <w:rPr>
          <w:rFonts w:ascii="Times New Roman" w:hAnsi="Times New Roman" w:cs="Times New Roman"/>
        </w:rPr>
        <w:t xml:space="preserve"> ) must be equal to both the ion flux in phase ( </w:t>
      </w:r>
      <m:oMath>
        <m:r>
          <w:rPr>
            <w:rFonts w:ascii="Cambria Math" w:hAnsi="Cambria Math" w:cs="Times New Roman"/>
          </w:rPr>
          <m:t>α</m:t>
        </m:r>
      </m:oMath>
      <w:r w:rsidRPr="00344843">
        <w:rPr>
          <w:rFonts w:ascii="Times New Roman" w:hAnsi="Times New Roman" w:cs="Times New Roman"/>
        </w:rPr>
        <w:t xml:space="preserve"> ) and the electron flux in phase ( </w:t>
      </w:r>
      <m:oMath>
        <m:r>
          <w:rPr>
            <w:rFonts w:ascii="Cambria Math" w:hAnsi="Cambria Math" w:cs="Times New Roman"/>
          </w:rPr>
          <m:t>β</m:t>
        </m:r>
      </m:oMath>
      <w:r w:rsidRPr="00344843">
        <w:rPr>
          <w:rFonts w:ascii="Times New Roman" w:hAnsi="Times New Roman" w:cs="Times New Roman"/>
        </w:rPr>
        <w:t>):</w:t>
      </w:r>
    </w:p>
    <w:p w:rsidR="0065273B" w:rsidRPr="00344843" w:rsidRDefault="006570AC">
      <w:pPr>
        <w:widowControl/>
        <w:spacing w:after="200"/>
        <w:ind w:left="72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M</m:t>
              </m:r>
            </m:sub>
          </m:sSub>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j</m:t>
              </m:r>
            </m:e>
            <m:sub>
              <m:r>
                <m:rPr>
                  <m:nor/>
                </m:rPr>
                <w:rPr>
                  <w:rFonts w:ascii="Times New Roman" w:hAnsi="Times New Roman" w:cs="Times New Roman"/>
                </w:rPr>
                <m:t>ion</m:t>
              </m:r>
            </m:sub>
            <m:sup>
              <m:r>
                <w:rPr>
                  <w:rFonts w:ascii="Cambria Math" w:hAnsi="Cambria Math" w:cs="Times New Roman"/>
                </w:rPr>
                <m:t>α</m:t>
              </m:r>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j</m:t>
              </m:r>
            </m:e>
            <m:sub>
              <m:r>
                <m:rPr>
                  <m:nor/>
                </m:rPr>
                <w:rPr>
                  <w:rFonts w:ascii="Times New Roman" w:hAnsi="Times New Roman" w:cs="Times New Roman"/>
                </w:rPr>
                <m:t>eon</m:t>
              </m:r>
            </m:sub>
            <m:sup>
              <m:r>
                <w:rPr>
                  <w:rFonts w:ascii="Cambria Math" w:hAnsi="Cambria Math" w:cs="Times New Roman"/>
                </w:rPr>
                <m:t>β</m:t>
              </m:r>
            </m:sup>
          </m:sSubSup>
        </m:oMath>
      </m:oMathPara>
    </w:p>
    <w:p w:rsidR="0065273B" w:rsidRPr="00344843" w:rsidRDefault="006570AC">
      <w:pPr>
        <w:pStyle w:val="ListParagraph"/>
        <w:widowControl/>
        <w:numPr>
          <w:ilvl w:val="0"/>
          <w:numId w:val="1"/>
        </w:numPr>
        <w:spacing w:after="200"/>
        <w:ind w:firstLineChars="0"/>
        <w:rPr>
          <w:rFonts w:ascii="Times New Roman" w:hAnsi="Times New Roman" w:cs="Times New Roman"/>
        </w:rPr>
      </w:pPr>
      <w:r w:rsidRPr="00344843">
        <w:rPr>
          <w:rFonts w:ascii="Times New Roman" w:hAnsi="Times New Roman" w:cs="Times New Roman"/>
          <w:b/>
          <w:bCs/>
        </w:rPr>
        <w:t>Combined Flux Expression</w:t>
      </w:r>
      <w:r w:rsidRPr="00344843">
        <w:rPr>
          <w:rFonts w:ascii="Times New Roman" w:hAnsi="Times New Roman" w:cs="Times New Roman"/>
        </w:rPr>
        <w:t>: The combined expression for the t</w:t>
      </w:r>
      <w:r w:rsidRPr="00344843">
        <w:rPr>
          <w:rFonts w:ascii="Times New Roman" w:hAnsi="Times New Roman" w:cs="Times New Roman"/>
        </w:rPr>
        <w:t xml:space="preserve">otal charge carrier flux ( </w:t>
      </w:r>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M</m:t>
            </m:r>
          </m:sub>
        </m:sSub>
      </m:oMath>
      <w:r w:rsidRPr="00344843">
        <w:rPr>
          <w:rFonts w:ascii="Times New Roman" w:hAnsi="Times New Roman" w:cs="Times New Roman"/>
        </w:rPr>
        <w:t xml:space="preserve"> ) is then derived by considering the parallel contributions of ions and electrons:</w:t>
      </w:r>
    </w:p>
    <w:p w:rsidR="0065273B" w:rsidRPr="00344843" w:rsidRDefault="006570AC">
      <w:pPr>
        <w:widowControl/>
        <w:spacing w:after="200"/>
        <w:ind w:left="72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M</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1</m:t>
              </m:r>
            </m:num>
            <m:den>
              <m:sSup>
                <m:sSupPr>
                  <m:ctrlPr>
                    <w:rPr>
                      <w:rFonts w:ascii="Cambria Math" w:hAnsi="Cambria Math" w:cs="Times New Roman"/>
                    </w:rPr>
                  </m:ctrlPr>
                </m:sSupPr>
                <m:e>
                  <m:r>
                    <w:rPr>
                      <w:rFonts w:ascii="Cambria Math" w:hAnsi="Cambria Math" w:cs="Times New Roman"/>
                    </w:rPr>
                    <m:t>F</m:t>
                  </m:r>
                </m:e>
                <m:sup>
                  <m:r>
                    <m:rPr>
                      <m:sty m:val="p"/>
                    </m:rPr>
                    <w:rPr>
                      <w:rFonts w:ascii="Cambria Math" w:hAnsi="Cambria Math" w:cs="Times New Roman"/>
                    </w:rPr>
                    <m:t>2</m:t>
                  </m:r>
                </m:sup>
              </m:sSup>
            </m:den>
          </m:f>
          <m:d>
            <m:dPr>
              <m:ctrlPr>
                <w:rPr>
                  <w:rFonts w:ascii="Cambria Math" w:hAnsi="Cambria Math" w:cs="Times New Roman"/>
                </w:rPr>
              </m:ctrlPr>
            </m:dPr>
            <m:e>
              <m:f>
                <m:fPr>
                  <m:ctrlPr>
                    <w:rPr>
                      <w:rFonts w:ascii="Cambria Math" w:hAnsi="Cambria Math" w:cs="Times New Roman"/>
                    </w:rPr>
                  </m:ctrlPr>
                </m:fPr>
                <m:num>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ion</m:t>
                      </m:r>
                    </m:sub>
                    <m:sup>
                      <m:r>
                        <w:rPr>
                          <w:rFonts w:ascii="Cambria Math" w:hAnsi="Cambria Math" w:cs="Times New Roman"/>
                        </w:rPr>
                        <m:t>α</m:t>
                      </m:r>
                    </m:sup>
                  </m:sSubSup>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eon</m:t>
                      </m:r>
                    </m:sub>
                    <m:sup>
                      <m:r>
                        <w:rPr>
                          <w:rFonts w:ascii="Cambria Math" w:hAnsi="Cambria Math" w:cs="Times New Roman"/>
                        </w:rPr>
                        <m:t>β</m:t>
                      </m:r>
                    </m:sup>
                  </m:sSubSup>
                </m:num>
                <m:den>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ion</m:t>
                      </m:r>
                    </m:sub>
                    <m:sup>
                      <m:r>
                        <w:rPr>
                          <w:rFonts w:ascii="Cambria Math" w:hAnsi="Cambria Math" w:cs="Times New Roman"/>
                        </w:rPr>
                        <m:t>α</m:t>
                      </m:r>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eon</m:t>
                      </m:r>
                    </m:sub>
                    <m:sup>
                      <m:r>
                        <w:rPr>
                          <w:rFonts w:ascii="Cambria Math" w:hAnsi="Cambria Math" w:cs="Times New Roman"/>
                        </w:rPr>
                        <m:t>β</m:t>
                      </m:r>
                    </m:sup>
                  </m:sSubSup>
                </m:den>
              </m:f>
            </m:e>
          </m:d>
          <m:d>
            <m:dPr>
              <m:ctrlPr>
                <w:rPr>
                  <w:rFonts w:ascii="Cambria Math" w:hAnsi="Cambria Math" w:cs="Times New Roman"/>
                </w:rPr>
              </m:ctrlPr>
            </m:dPr>
            <m:e>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μ</m:t>
                  </m:r>
                </m:e>
                <m:sub>
                  <m:r>
                    <m:rPr>
                      <m:nor/>
                    </m:rPr>
                    <w:rPr>
                      <w:rFonts w:ascii="Times New Roman" w:hAnsi="Times New Roman" w:cs="Times New Roman"/>
                    </w:rPr>
                    <m:t>ion</m:t>
                  </m:r>
                </m:sub>
                <m:sup>
                  <m:r>
                    <w:rPr>
                      <w:rFonts w:ascii="Cambria Math" w:hAnsi="Cambria Math" w:cs="Times New Roman"/>
                    </w:rPr>
                    <m:t>α</m:t>
                  </m:r>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μ</m:t>
                  </m:r>
                </m:e>
                <m:sub>
                  <m:r>
                    <m:rPr>
                      <m:nor/>
                    </m:rPr>
                    <w:rPr>
                      <w:rFonts w:ascii="Times New Roman" w:hAnsi="Times New Roman" w:cs="Times New Roman"/>
                    </w:rPr>
                    <m:t>eon</m:t>
                  </m:r>
                </m:sub>
                <m:sup>
                  <m:r>
                    <w:rPr>
                      <w:rFonts w:ascii="Cambria Math" w:hAnsi="Cambria Math" w:cs="Times New Roman"/>
                    </w:rPr>
                    <m:t>β</m:t>
                  </m:r>
                </m:sup>
              </m:sSubSup>
            </m:e>
          </m:d>
        </m:oMath>
      </m:oMathPara>
    </w:p>
    <w:p w:rsidR="0065273B" w:rsidRPr="00344843" w:rsidRDefault="006570AC">
      <w:pPr>
        <w:pStyle w:val="ListParagraph"/>
        <w:widowControl/>
        <w:numPr>
          <w:ilvl w:val="0"/>
          <w:numId w:val="1"/>
        </w:numPr>
        <w:spacing w:after="200"/>
        <w:ind w:firstLineChars="0"/>
        <w:rPr>
          <w:rFonts w:ascii="Times New Roman" w:hAnsi="Times New Roman" w:cs="Times New Roman"/>
        </w:rPr>
      </w:pPr>
      <w:r w:rsidRPr="00344843">
        <w:rPr>
          <w:rFonts w:ascii="Times New Roman" w:hAnsi="Times New Roman" w:cs="Times New Roman"/>
          <w:b/>
          <w:bCs/>
        </w:rPr>
        <w:t>Electrochemical Potential Gradient</w:t>
      </w:r>
      <w:r w:rsidRPr="00344843">
        <w:rPr>
          <w:rFonts w:ascii="Times New Roman" w:hAnsi="Times New Roman" w:cs="Times New Roman"/>
        </w:rPr>
        <w:t xml:space="preserve">: Since the electrochemical potential is the sum </w:t>
      </w:r>
      <w:r w:rsidRPr="00344843">
        <w:rPr>
          <w:rFonts w:ascii="Times New Roman" w:hAnsi="Times New Roman" w:cs="Times New Roman"/>
        </w:rPr>
        <w:t>of the chemical potential and the electrical potential, the equation can be expanded to include the contributions from both potentials:</w:t>
      </w:r>
      <w:r w:rsidRPr="00344843">
        <w:rPr>
          <w:rFonts w:ascii="Times New Roman" w:hAnsi="Times New Roman" w:cs="Times New Roman"/>
        </w:rPr>
        <w:br/>
      </w:r>
    </w:p>
    <w:p w:rsidR="0065273B" w:rsidRPr="00344843" w:rsidRDefault="006570AC">
      <w:pPr>
        <w:widowControl/>
        <w:spacing w:after="200"/>
        <w:ind w:left="720"/>
        <w:rPr>
          <w:rFonts w:ascii="Times New Roman" w:hAnsi="Times New Roman" w:cs="Times New Roman"/>
        </w:rPr>
      </w:pPr>
      <m:oMathPara>
        <m:oMath>
          <m:sSub>
            <m:sSubPr>
              <m:ctrlPr>
                <w:rPr>
                  <w:rFonts w:ascii="Cambria Math" w:hAnsi="Cambria Math" w:cs="Times New Roman"/>
                </w:rPr>
              </m:ctrlPr>
            </m:sSubPr>
            <m:e>
              <m:r>
                <w:rPr>
                  <w:rFonts w:ascii="Cambria Math" w:hAnsi="Cambria Math" w:cs="Times New Roman"/>
                </w:rPr>
                <m:t>j</m:t>
              </m:r>
            </m:e>
            <m:sub>
              <m:r>
                <w:rPr>
                  <w:rFonts w:ascii="Cambria Math" w:hAnsi="Cambria Math" w:cs="Times New Roman"/>
                </w:rPr>
                <m:t>M</m:t>
              </m:r>
            </m:sub>
          </m:sSub>
          <m:r>
            <m:rPr>
              <m:sty m:val="p"/>
            </m:rPr>
            <w:rPr>
              <w:rFonts w:ascii="Cambria Math" w:hAnsi="Cambria Math" w:cs="Times New Roman"/>
            </w:rPr>
            <m:t>=-</m:t>
          </m:r>
          <m:f>
            <m:fPr>
              <m:ctrlPr>
                <w:rPr>
                  <w:rFonts w:ascii="Cambria Math" w:hAnsi="Cambria Math" w:cs="Times New Roman"/>
                </w:rPr>
              </m:ctrlPr>
            </m:fPr>
            <m:num>
              <m:r>
                <m:rPr>
                  <m:sty m:val="p"/>
                </m:rPr>
                <w:rPr>
                  <w:rFonts w:ascii="Cambria Math" w:hAnsi="Cambria Math" w:cs="Times New Roman"/>
                </w:rPr>
                <m:t>1</m:t>
              </m:r>
            </m:num>
            <m:den>
              <m:sSup>
                <m:sSupPr>
                  <m:ctrlPr>
                    <w:rPr>
                      <w:rFonts w:ascii="Cambria Math" w:hAnsi="Cambria Math" w:cs="Times New Roman"/>
                    </w:rPr>
                  </m:ctrlPr>
                </m:sSupPr>
                <m:e>
                  <m:r>
                    <w:rPr>
                      <w:rFonts w:ascii="Cambria Math" w:hAnsi="Cambria Math" w:cs="Times New Roman"/>
                    </w:rPr>
                    <m:t>F</m:t>
                  </m:r>
                </m:e>
                <m:sup>
                  <m:r>
                    <m:rPr>
                      <m:sty m:val="p"/>
                    </m:rPr>
                    <w:rPr>
                      <w:rFonts w:ascii="Cambria Math" w:hAnsi="Cambria Math" w:cs="Times New Roman"/>
                    </w:rPr>
                    <m:t>2</m:t>
                  </m:r>
                </m:sup>
              </m:sSup>
            </m:den>
          </m:f>
          <m:d>
            <m:dPr>
              <m:ctrlPr>
                <w:rPr>
                  <w:rFonts w:ascii="Cambria Math" w:hAnsi="Cambria Math" w:cs="Times New Roman"/>
                </w:rPr>
              </m:ctrlPr>
            </m:dPr>
            <m:e>
              <m:f>
                <m:fPr>
                  <m:ctrlPr>
                    <w:rPr>
                      <w:rFonts w:ascii="Cambria Math" w:hAnsi="Cambria Math" w:cs="Times New Roman"/>
                    </w:rPr>
                  </m:ctrlPr>
                </m:fPr>
                <m:num>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ion</m:t>
                      </m:r>
                    </m:sub>
                    <m:sup>
                      <m:r>
                        <w:rPr>
                          <w:rFonts w:ascii="Cambria Math" w:hAnsi="Cambria Math" w:cs="Times New Roman"/>
                        </w:rPr>
                        <m:t>α</m:t>
                      </m:r>
                    </m:sup>
                  </m:sSubSup>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eon</m:t>
                      </m:r>
                    </m:sub>
                    <m:sup>
                      <m:r>
                        <w:rPr>
                          <w:rFonts w:ascii="Cambria Math" w:hAnsi="Cambria Math" w:cs="Times New Roman"/>
                        </w:rPr>
                        <m:t>β</m:t>
                      </m:r>
                    </m:sup>
                  </m:sSubSup>
                </m:num>
                <m:den>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ion</m:t>
                      </m:r>
                    </m:sub>
                    <m:sup>
                      <m:r>
                        <w:rPr>
                          <w:rFonts w:ascii="Cambria Math" w:hAnsi="Cambria Math" w:cs="Times New Roman"/>
                        </w:rPr>
                        <m:t>α</m:t>
                      </m:r>
                    </m:sup>
                  </m:sSubSup>
                  <m:r>
                    <m:rPr>
                      <m:sty m:val="p"/>
                    </m:rPr>
                    <w:rPr>
                      <w:rFonts w:ascii="Cambria Math" w:hAnsi="Cambria Math" w:cs="Times New Roman"/>
                    </w:rPr>
                    <m:t>+</m:t>
                  </m:r>
                  <m:sSubSup>
                    <m:sSubSupPr>
                      <m:ctrlPr>
                        <w:rPr>
                          <w:rFonts w:ascii="Cambria Math" w:hAnsi="Cambria Math" w:cs="Times New Roman"/>
                        </w:rPr>
                      </m:ctrlPr>
                    </m:sSubSupPr>
                    <m:e>
                      <m:r>
                        <w:rPr>
                          <w:rFonts w:ascii="Cambria Math" w:hAnsi="Cambria Math" w:cs="Times New Roman"/>
                        </w:rPr>
                        <m:t>σ</m:t>
                      </m:r>
                    </m:e>
                    <m:sub>
                      <m:r>
                        <m:rPr>
                          <m:nor/>
                        </m:rPr>
                        <w:rPr>
                          <w:rFonts w:ascii="Times New Roman" w:hAnsi="Times New Roman" w:cs="Times New Roman"/>
                        </w:rPr>
                        <m:t>eon</m:t>
                      </m:r>
                    </m:sub>
                    <m:sup>
                      <m:r>
                        <w:rPr>
                          <w:rFonts w:ascii="Cambria Math" w:hAnsi="Cambria Math" w:cs="Times New Roman"/>
                        </w:rPr>
                        <m:t>β</m:t>
                      </m:r>
                    </m:sup>
                  </m:sSubSup>
                </m:den>
              </m:f>
            </m:e>
          </m:d>
          <m:d>
            <m:dPr>
              <m:ctrlPr>
                <w:rPr>
                  <w:rFonts w:ascii="Cambria Math" w:hAnsi="Cambria Math" w:cs="Times New Roman"/>
                </w:rPr>
              </m:ctrlPr>
            </m:dPr>
            <m:e>
              <m:r>
                <m:rPr>
                  <m:sty m:val="p"/>
                </m:rPr>
                <w:rPr>
                  <w:rFonts w:ascii="Cambria Math" w:hAnsi="Cambria Math" w:cs="Times New Roman"/>
                </w:rPr>
                <m:t>∇</m:t>
              </m:r>
              <m:r>
                <w:rPr>
                  <w:rFonts w:ascii="Cambria Math" w:hAnsi="Cambria Math" w:cs="Times New Roman"/>
                </w:rPr>
                <m:t>μ</m:t>
              </m:r>
              <m:sSup>
                <m:sSupPr>
                  <m:ctrlPr>
                    <w:rPr>
                      <w:rFonts w:ascii="Cambria Math" w:hAnsi="Cambria Math" w:cs="Times New Roman"/>
                    </w:rPr>
                  </m:ctrlPr>
                </m:sSupPr>
                <m:e>
                  <m:r>
                    <m:rPr>
                      <m:nor/>
                    </m:rPr>
                    <w:rPr>
                      <w:rFonts w:ascii="Times New Roman" w:hAnsi="Times New Roman" w:cs="Times New Roman"/>
                    </w:rPr>
                    <m:t>ion</m:t>
                  </m:r>
                </m:e>
                <m:sup>
                  <m:r>
                    <w:rPr>
                      <w:rFonts w:ascii="Cambria Math" w:hAnsi="Cambria Math" w:cs="Times New Roman"/>
                    </w:rPr>
                    <m:t>α</m:t>
                  </m:r>
                </m:sup>
              </m:sSup>
              <m:r>
                <m:rPr>
                  <m:sty m:val="p"/>
                </m:rPr>
                <w:rPr>
                  <w:rFonts w:ascii="Cambria Math" w:hAnsi="Cambria Math" w:cs="Times New Roman"/>
                </w:rPr>
                <m:t>+∇</m:t>
              </m:r>
              <m:r>
                <w:rPr>
                  <w:rFonts w:ascii="Cambria Math" w:hAnsi="Cambria Math" w:cs="Times New Roman"/>
                </w:rPr>
                <m:t>μ</m:t>
              </m:r>
              <m:sSup>
                <m:sSupPr>
                  <m:ctrlPr>
                    <w:rPr>
                      <w:rFonts w:ascii="Cambria Math" w:hAnsi="Cambria Math" w:cs="Times New Roman"/>
                    </w:rPr>
                  </m:ctrlPr>
                </m:sSupPr>
                <m:e>
                  <m:r>
                    <m:rPr>
                      <m:nor/>
                    </m:rPr>
                    <w:rPr>
                      <w:rFonts w:ascii="Times New Roman" w:hAnsi="Times New Roman" w:cs="Times New Roman"/>
                    </w:rPr>
                    <m:t>eon</m:t>
                  </m:r>
                </m:e>
                <m:sup>
                  <m:r>
                    <w:rPr>
                      <w:rFonts w:ascii="Cambria Math" w:hAnsi="Cambria Math" w:cs="Times New Roman"/>
                    </w:rPr>
                    <m:t>β</m:t>
                  </m:r>
                </m:sup>
              </m:sSup>
              <m:r>
                <m:rPr>
                  <m:sty m:val="p"/>
                </m:rPr>
                <w:rPr>
                  <w:rFonts w:ascii="Cambria Math" w:hAnsi="Cambria Math" w:cs="Times New Roman"/>
                </w:rPr>
                <m:t>+</m:t>
              </m:r>
              <m:r>
                <w:rPr>
                  <w:rFonts w:ascii="Cambria Math" w:hAnsi="Cambria Math" w:cs="Times New Roman"/>
                </w:rPr>
                <m:t>F</m:t>
              </m:r>
              <m:d>
                <m:dPr>
                  <m:ctrlPr>
                    <w:rPr>
                      <w:rFonts w:ascii="Cambria Math" w:hAnsi="Cambria Math" w:cs="Times New Roman"/>
                    </w:rPr>
                  </m:ctrlPr>
                </m:dPr>
                <m:e>
                  <m:sSup>
                    <m:sSupPr>
                      <m:ctrlPr>
                        <w:rPr>
                          <w:rFonts w:ascii="Cambria Math" w:hAnsi="Cambria Math" w:cs="Times New Roman"/>
                        </w:rPr>
                      </m:ctrlPr>
                    </m:sSupPr>
                    <m:e>
                      <m:r>
                        <w:rPr>
                          <w:rFonts w:ascii="Cambria Math" w:hAnsi="Cambria Math" w:cs="Times New Roman"/>
                        </w:rPr>
                        <m:t>ϕ</m:t>
                      </m:r>
                    </m:e>
                    <m:sup>
                      <m:r>
                        <w:rPr>
                          <w:rFonts w:ascii="Cambria Math" w:hAnsi="Cambria Math" w:cs="Times New Roman"/>
                        </w:rPr>
                        <m:t>α</m:t>
                      </m:r>
                    </m:sup>
                  </m:sSup>
                  <m:r>
                    <m:rPr>
                      <m:sty m:val="p"/>
                    </m:rPr>
                    <w:rPr>
                      <w:rFonts w:ascii="Cambria Math" w:hAnsi="Cambria Math" w:cs="Times New Roman"/>
                    </w:rPr>
                    <m:t>-</m:t>
                  </m:r>
                  <m:sSup>
                    <m:sSupPr>
                      <m:ctrlPr>
                        <w:rPr>
                          <w:rFonts w:ascii="Cambria Math" w:hAnsi="Cambria Math" w:cs="Times New Roman"/>
                        </w:rPr>
                      </m:ctrlPr>
                    </m:sSupPr>
                    <m:e>
                      <m:r>
                        <w:rPr>
                          <w:rFonts w:ascii="Cambria Math" w:hAnsi="Cambria Math" w:cs="Times New Roman"/>
                        </w:rPr>
                        <m:t>ϕ</m:t>
                      </m:r>
                    </m:e>
                    <m:sup>
                      <m:r>
                        <w:rPr>
                          <w:rFonts w:ascii="Cambria Math" w:hAnsi="Cambria Math" w:cs="Times New Roman"/>
                        </w:rPr>
                        <m:t>β</m:t>
                      </m:r>
                    </m:sup>
                  </m:sSup>
                </m:e>
              </m:d>
            </m:e>
          </m:d>
        </m:oMath>
      </m:oMathPara>
    </w:p>
    <w:p w:rsidR="0065273B" w:rsidRPr="00344843" w:rsidRDefault="006570AC">
      <w:pPr>
        <w:pStyle w:val="FirstParagraph"/>
        <w:spacing w:line="360" w:lineRule="auto"/>
        <w:jc w:val="both"/>
        <w:rPr>
          <w:rFonts w:ascii="Times New Roman" w:hAnsi="Times New Roman" w:cs="Times New Roman"/>
        </w:rPr>
      </w:pPr>
      <w:r w:rsidRPr="00344843">
        <w:rPr>
          <w:rFonts w:ascii="Times New Roman" w:hAnsi="Times New Roman" w:cs="Times New Roman"/>
        </w:rPr>
        <w:t>This equation captures the essence of the decouple</w:t>
      </w:r>
      <w:r w:rsidRPr="00344843">
        <w:rPr>
          <w:rFonts w:ascii="Times New Roman" w:hAnsi="Times New Roman" w:cs="Times New Roman"/>
        </w:rPr>
        <w:t xml:space="preserve">d transport of ions and electrons in the </w:t>
      </w:r>
      <w:r w:rsidRPr="00344843">
        <w:rPr>
          <w:rFonts w:ascii="Times New Roman" w:hAnsi="Times New Roman" w:cs="Times New Roman" w:hint="eastAsia"/>
          <w:lang w:eastAsia="zh-CN"/>
        </w:rPr>
        <w:t>H-NDA-G</w:t>
      </w:r>
      <w:r w:rsidRPr="00344843">
        <w:rPr>
          <w:rFonts w:ascii="Times New Roman" w:hAnsi="Times New Roman" w:cs="Times New Roman"/>
        </w:rPr>
        <w:t xml:space="preserve"> heterostructure, where rGO facilitates rapid electron transfer and H-NDA provides a pathway for ion transport, enhancing the overall electrochemical performance.</w:t>
      </w:r>
    </w:p>
    <w:p w:rsidR="0065273B" w:rsidRPr="00344843" w:rsidRDefault="0065273B">
      <w:pPr>
        <w:rPr>
          <w:rFonts w:ascii="Times New Roman" w:hAnsi="Times New Roman" w:cs="Times New Roman"/>
        </w:rPr>
      </w:pPr>
      <w:bookmarkStart w:id="8" w:name="derivation-process-in-english"/>
      <w:bookmarkEnd w:id="8"/>
    </w:p>
    <w:sectPr w:rsidR="0065273B" w:rsidRPr="00344843" w:rsidSect="00344843">
      <w:headerReference w:type="default" r:id="rId3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570AC" w:rsidRDefault="006570AC">
      <w:r>
        <w:separator/>
      </w:r>
    </w:p>
  </w:endnote>
  <w:endnote w:type="continuationSeparator" w:id="0">
    <w:p w:rsidR="006570AC" w:rsidRDefault="00657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等线">
    <w:altName w:val="Arial Unicode MS"/>
    <w:charset w:val="86"/>
    <w:family w:val="auto"/>
    <w:pitch w:val="variable"/>
    <w:sig w:usb0="00000000" w:usb1="38CF7CFA" w:usb2="00000016" w:usb3="00000000" w:csb0="0004000F" w:csb1="00000000"/>
  </w:font>
  <w:font w:name="等线 Light">
    <w:altName w:val="Arial Unicode MS"/>
    <w:charset w:val="86"/>
    <w:family w:val="auto"/>
    <w:pitch w:val="variable"/>
    <w:sig w:usb0="00000000" w:usb1="38CF7CFA" w:usb2="00000016" w:usb3="00000000" w:csb0="0004000F" w:csb1="00000000"/>
  </w:font>
  <w:font w:name="SimHei">
    <w:altName w:val="Arial Unicode MS"/>
    <w:panose1 w:val="02010600030101010101"/>
    <w:charset w:val="86"/>
    <w:family w:val="modern"/>
    <w:notTrueType/>
    <w:pitch w:val="fixed"/>
    <w:sig w:usb0="00000000" w:usb1="080E0000" w:usb2="00000010" w:usb3="00000000" w:csb0="00040000" w:csb1="00000000"/>
  </w:font>
  <w:font w:name="SimSun">
    <w:altName w:val="宋体"/>
    <w:panose1 w:val="02010600030101010101"/>
    <w:charset w:val="86"/>
    <w:family w:val="auto"/>
    <w:pitch w:val="variable"/>
    <w:sig w:usb0="00000203" w:usb1="288F0000" w:usb2="00000016" w:usb3="00000000" w:csb0="00040001"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570AC" w:rsidRDefault="006570AC">
      <w:r>
        <w:separator/>
      </w:r>
    </w:p>
  </w:footnote>
  <w:footnote w:type="continuationSeparator" w:id="0">
    <w:p w:rsidR="006570AC" w:rsidRDefault="006570A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273B" w:rsidRDefault="006570AC">
    <w:pPr>
      <w:pStyle w:val="Header"/>
      <w:pBdr>
        <w:bottom w:val="none" w:sz="0" w:space="1" w:color="auto"/>
      </w:pBdr>
      <w:jc w:val="right"/>
    </w:pPr>
    <w:r>
      <w:rPr>
        <w:noProof/>
        <w:lang w:eastAsia="en-US"/>
      </w:rPr>
      <w:drawing>
        <wp:inline distT="0" distB="0" distL="114300" distR="114300" wp14:anchorId="4E0F6F39" wp14:editId="412AAE1B">
          <wp:extent cx="1487170" cy="414655"/>
          <wp:effectExtent l="0" t="0" r="6350" b="1206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
                  <a:stretch>
                    <a:fillRect/>
                  </a:stretch>
                </pic:blipFill>
                <pic:spPr>
                  <a:xfrm>
                    <a:off x="0" y="0"/>
                    <a:ext cx="1487170" cy="41465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C91CE2"/>
    <w:multiLevelType w:val="multilevel"/>
    <w:tmpl w:val="14C91CE2"/>
    <w:lvl w:ilvl="0">
      <w:start w:val="1"/>
      <w:numFmt w:val="decimal"/>
      <w:lvlText w:val="%1."/>
      <w:lvlJc w:val="left"/>
      <w:pPr>
        <w:ind w:left="360" w:hanging="360"/>
      </w:pPr>
      <w:rPr>
        <w:rFonts w:hint="default"/>
        <w:b/>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8"/>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I5MTBhMWNmYTZmNTU4ZDc1MzJkMmViZjExMDE3N2QifQ=="/>
    <w:docVar w:name="EN.InstantFormat" w:val="&lt;ENInstantFormat&gt;&lt;Enabled&gt;1&lt;/Enabled&gt;&lt;ScanUnformatted&gt;1&lt;/ScanUnformatted&gt;&lt;ScanChanges&gt;1&lt;/ScanChanges&gt;&lt;Suspended&gt;1&lt;/Suspended&gt;&lt;/ENInstantFormat&gt;"/>
    <w:docVar w:name="EN.Layout" w:val="&lt;ENLayout&gt;&lt;Style&gt;ACS Nano Copy&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2s59w2tos5rxaewvd6vdt55zr9zvzsrzet9&quot;&gt;PA-AlBS-ACSNano-2&lt;record-ids&gt;&lt;item&gt;1&lt;/item&gt;&lt;/record-ids&gt;&lt;/item&gt;&lt;/Libraries&gt;"/>
  </w:docVars>
  <w:rsids>
    <w:rsidRoot w:val="00E76B50"/>
    <w:rsid w:val="0001624A"/>
    <w:rsid w:val="00051897"/>
    <w:rsid w:val="00056AF1"/>
    <w:rsid w:val="00065291"/>
    <w:rsid w:val="0008023D"/>
    <w:rsid w:val="00080CEC"/>
    <w:rsid w:val="0008158A"/>
    <w:rsid w:val="00087161"/>
    <w:rsid w:val="000B660B"/>
    <w:rsid w:val="000D05E6"/>
    <w:rsid w:val="000E693A"/>
    <w:rsid w:val="0010460B"/>
    <w:rsid w:val="00112155"/>
    <w:rsid w:val="00120D3B"/>
    <w:rsid w:val="00136B86"/>
    <w:rsid w:val="00146B59"/>
    <w:rsid w:val="00150937"/>
    <w:rsid w:val="0015757F"/>
    <w:rsid w:val="00157869"/>
    <w:rsid w:val="00193375"/>
    <w:rsid w:val="001C193C"/>
    <w:rsid w:val="00207C39"/>
    <w:rsid w:val="002400FD"/>
    <w:rsid w:val="00254C5D"/>
    <w:rsid w:val="00266EE1"/>
    <w:rsid w:val="00271200"/>
    <w:rsid w:val="0027666E"/>
    <w:rsid w:val="00280AF4"/>
    <w:rsid w:val="00296211"/>
    <w:rsid w:val="002A6B86"/>
    <w:rsid w:val="002B4FDA"/>
    <w:rsid w:val="002F2C05"/>
    <w:rsid w:val="002F63A4"/>
    <w:rsid w:val="00301A8C"/>
    <w:rsid w:val="0033036B"/>
    <w:rsid w:val="00344505"/>
    <w:rsid w:val="00344843"/>
    <w:rsid w:val="00353D23"/>
    <w:rsid w:val="00356C42"/>
    <w:rsid w:val="00362AA5"/>
    <w:rsid w:val="00365390"/>
    <w:rsid w:val="00374E7D"/>
    <w:rsid w:val="00384B9C"/>
    <w:rsid w:val="00384BDA"/>
    <w:rsid w:val="003C63A1"/>
    <w:rsid w:val="003F5837"/>
    <w:rsid w:val="00406A1F"/>
    <w:rsid w:val="00406D06"/>
    <w:rsid w:val="00427C5C"/>
    <w:rsid w:val="004406E8"/>
    <w:rsid w:val="00457190"/>
    <w:rsid w:val="004A0E76"/>
    <w:rsid w:val="004B20C2"/>
    <w:rsid w:val="004D1BE0"/>
    <w:rsid w:val="005019A8"/>
    <w:rsid w:val="00513549"/>
    <w:rsid w:val="0051696C"/>
    <w:rsid w:val="00526654"/>
    <w:rsid w:val="005328AF"/>
    <w:rsid w:val="0054051F"/>
    <w:rsid w:val="00540C7A"/>
    <w:rsid w:val="00544702"/>
    <w:rsid w:val="00550B16"/>
    <w:rsid w:val="00552051"/>
    <w:rsid w:val="00561223"/>
    <w:rsid w:val="00565E7A"/>
    <w:rsid w:val="005809BB"/>
    <w:rsid w:val="00584BA6"/>
    <w:rsid w:val="0059769D"/>
    <w:rsid w:val="005E5D25"/>
    <w:rsid w:val="005F1FDC"/>
    <w:rsid w:val="005F2C3B"/>
    <w:rsid w:val="0060213D"/>
    <w:rsid w:val="00623800"/>
    <w:rsid w:val="0064418C"/>
    <w:rsid w:val="0065273B"/>
    <w:rsid w:val="00656ED5"/>
    <w:rsid w:val="006570AC"/>
    <w:rsid w:val="006864EB"/>
    <w:rsid w:val="006878A2"/>
    <w:rsid w:val="00692B11"/>
    <w:rsid w:val="00697097"/>
    <w:rsid w:val="006A1752"/>
    <w:rsid w:val="006A2864"/>
    <w:rsid w:val="006B5AA9"/>
    <w:rsid w:val="006C6335"/>
    <w:rsid w:val="006E081F"/>
    <w:rsid w:val="006E484D"/>
    <w:rsid w:val="006F76AB"/>
    <w:rsid w:val="00705065"/>
    <w:rsid w:val="00717E54"/>
    <w:rsid w:val="00720401"/>
    <w:rsid w:val="00733185"/>
    <w:rsid w:val="00734AA7"/>
    <w:rsid w:val="00756811"/>
    <w:rsid w:val="007967D8"/>
    <w:rsid w:val="007B1AEF"/>
    <w:rsid w:val="007D6541"/>
    <w:rsid w:val="007F30C1"/>
    <w:rsid w:val="0080069C"/>
    <w:rsid w:val="008150FD"/>
    <w:rsid w:val="00841276"/>
    <w:rsid w:val="00851420"/>
    <w:rsid w:val="00857418"/>
    <w:rsid w:val="00862510"/>
    <w:rsid w:val="0088338D"/>
    <w:rsid w:val="00897C6A"/>
    <w:rsid w:val="008D4B5C"/>
    <w:rsid w:val="00921186"/>
    <w:rsid w:val="0092243A"/>
    <w:rsid w:val="0093085E"/>
    <w:rsid w:val="00973206"/>
    <w:rsid w:val="00974CED"/>
    <w:rsid w:val="00974E27"/>
    <w:rsid w:val="0097571F"/>
    <w:rsid w:val="009839C6"/>
    <w:rsid w:val="009C3312"/>
    <w:rsid w:val="009C6BB4"/>
    <w:rsid w:val="009D37C0"/>
    <w:rsid w:val="009E6F01"/>
    <w:rsid w:val="009F7A55"/>
    <w:rsid w:val="00A33400"/>
    <w:rsid w:val="00A41E29"/>
    <w:rsid w:val="00A44858"/>
    <w:rsid w:val="00A44D37"/>
    <w:rsid w:val="00A52CE2"/>
    <w:rsid w:val="00A547A4"/>
    <w:rsid w:val="00A65551"/>
    <w:rsid w:val="00A71EE6"/>
    <w:rsid w:val="00A848AD"/>
    <w:rsid w:val="00AB2522"/>
    <w:rsid w:val="00AB51EF"/>
    <w:rsid w:val="00AB58DE"/>
    <w:rsid w:val="00AC714F"/>
    <w:rsid w:val="00AF6FD0"/>
    <w:rsid w:val="00B11955"/>
    <w:rsid w:val="00B14E17"/>
    <w:rsid w:val="00B21371"/>
    <w:rsid w:val="00B375B9"/>
    <w:rsid w:val="00B65A94"/>
    <w:rsid w:val="00B737B8"/>
    <w:rsid w:val="00BB36BB"/>
    <w:rsid w:val="00BC6E9E"/>
    <w:rsid w:val="00BD0B45"/>
    <w:rsid w:val="00BF6462"/>
    <w:rsid w:val="00C10AA9"/>
    <w:rsid w:val="00C176AD"/>
    <w:rsid w:val="00C26E60"/>
    <w:rsid w:val="00C50FCB"/>
    <w:rsid w:val="00C671FD"/>
    <w:rsid w:val="00C7700F"/>
    <w:rsid w:val="00CA70C5"/>
    <w:rsid w:val="00CB11D1"/>
    <w:rsid w:val="00CF4665"/>
    <w:rsid w:val="00D01A7C"/>
    <w:rsid w:val="00D23A68"/>
    <w:rsid w:val="00D64374"/>
    <w:rsid w:val="00D72A7B"/>
    <w:rsid w:val="00D731E3"/>
    <w:rsid w:val="00D77328"/>
    <w:rsid w:val="00D94D6C"/>
    <w:rsid w:val="00D967C1"/>
    <w:rsid w:val="00DA4ACA"/>
    <w:rsid w:val="00DB1DBC"/>
    <w:rsid w:val="00DB5F4D"/>
    <w:rsid w:val="00DC522B"/>
    <w:rsid w:val="00DD20EC"/>
    <w:rsid w:val="00DE0B8C"/>
    <w:rsid w:val="00E03151"/>
    <w:rsid w:val="00E05459"/>
    <w:rsid w:val="00E07B22"/>
    <w:rsid w:val="00E22263"/>
    <w:rsid w:val="00E2541D"/>
    <w:rsid w:val="00E76B50"/>
    <w:rsid w:val="00E76EFB"/>
    <w:rsid w:val="00E81DB4"/>
    <w:rsid w:val="00EF0BF5"/>
    <w:rsid w:val="00F01D01"/>
    <w:rsid w:val="00F33E78"/>
    <w:rsid w:val="00F64911"/>
    <w:rsid w:val="01973B44"/>
    <w:rsid w:val="01D17056"/>
    <w:rsid w:val="02E76976"/>
    <w:rsid w:val="038926F5"/>
    <w:rsid w:val="043F0BEF"/>
    <w:rsid w:val="05123C0E"/>
    <w:rsid w:val="06023C82"/>
    <w:rsid w:val="06F07F7E"/>
    <w:rsid w:val="08314CF2"/>
    <w:rsid w:val="09D44BFD"/>
    <w:rsid w:val="0A0334A7"/>
    <w:rsid w:val="0A2667A6"/>
    <w:rsid w:val="0C11657D"/>
    <w:rsid w:val="0FC64DD7"/>
    <w:rsid w:val="11671785"/>
    <w:rsid w:val="12E12E71"/>
    <w:rsid w:val="130F79DE"/>
    <w:rsid w:val="135B2C24"/>
    <w:rsid w:val="157E72E3"/>
    <w:rsid w:val="168B7CC4"/>
    <w:rsid w:val="16EF3DAF"/>
    <w:rsid w:val="178766DD"/>
    <w:rsid w:val="18CB43A7"/>
    <w:rsid w:val="1AF20B7A"/>
    <w:rsid w:val="1C116575"/>
    <w:rsid w:val="1C19367C"/>
    <w:rsid w:val="1D7768AC"/>
    <w:rsid w:val="1EAA17AA"/>
    <w:rsid w:val="1F0B3750"/>
    <w:rsid w:val="1F9574BD"/>
    <w:rsid w:val="210466A8"/>
    <w:rsid w:val="22853819"/>
    <w:rsid w:val="23867849"/>
    <w:rsid w:val="25B85CB3"/>
    <w:rsid w:val="25E940BF"/>
    <w:rsid w:val="265869B2"/>
    <w:rsid w:val="268F4C66"/>
    <w:rsid w:val="27565784"/>
    <w:rsid w:val="27962024"/>
    <w:rsid w:val="27FF28D3"/>
    <w:rsid w:val="281A4A03"/>
    <w:rsid w:val="28862099"/>
    <w:rsid w:val="28B906C0"/>
    <w:rsid w:val="2A36189D"/>
    <w:rsid w:val="2AAD1B5F"/>
    <w:rsid w:val="2AFE23BA"/>
    <w:rsid w:val="2D4D13D7"/>
    <w:rsid w:val="2E344345"/>
    <w:rsid w:val="305D09FA"/>
    <w:rsid w:val="30E67B79"/>
    <w:rsid w:val="315C7E3B"/>
    <w:rsid w:val="32FA790B"/>
    <w:rsid w:val="36237179"/>
    <w:rsid w:val="369260AD"/>
    <w:rsid w:val="36A368CB"/>
    <w:rsid w:val="370A20E7"/>
    <w:rsid w:val="372D23BC"/>
    <w:rsid w:val="37386C54"/>
    <w:rsid w:val="393C6ED0"/>
    <w:rsid w:val="3B1672AC"/>
    <w:rsid w:val="3B762441"/>
    <w:rsid w:val="3B903503"/>
    <w:rsid w:val="3B914B85"/>
    <w:rsid w:val="3C2E0626"/>
    <w:rsid w:val="3C420BEB"/>
    <w:rsid w:val="3CE84C78"/>
    <w:rsid w:val="3E8D1F7B"/>
    <w:rsid w:val="3F23468E"/>
    <w:rsid w:val="405014B2"/>
    <w:rsid w:val="412173D8"/>
    <w:rsid w:val="4251506E"/>
    <w:rsid w:val="428471F1"/>
    <w:rsid w:val="435E18D1"/>
    <w:rsid w:val="43FE2B69"/>
    <w:rsid w:val="44B518E4"/>
    <w:rsid w:val="45BD69D2"/>
    <w:rsid w:val="47CE25B1"/>
    <w:rsid w:val="488F069E"/>
    <w:rsid w:val="49D00F6E"/>
    <w:rsid w:val="49F509D5"/>
    <w:rsid w:val="4C8F2B87"/>
    <w:rsid w:val="4CE07F77"/>
    <w:rsid w:val="503C735D"/>
    <w:rsid w:val="525E35BB"/>
    <w:rsid w:val="54030170"/>
    <w:rsid w:val="55EE10FA"/>
    <w:rsid w:val="56786FCF"/>
    <w:rsid w:val="585039A6"/>
    <w:rsid w:val="5BB73D3C"/>
    <w:rsid w:val="5BD963A8"/>
    <w:rsid w:val="5C403D31"/>
    <w:rsid w:val="5CDA5F34"/>
    <w:rsid w:val="5CE609FA"/>
    <w:rsid w:val="5F8F1C4A"/>
    <w:rsid w:val="602F6597"/>
    <w:rsid w:val="629D3C8C"/>
    <w:rsid w:val="62F6339C"/>
    <w:rsid w:val="631303F2"/>
    <w:rsid w:val="63255F20"/>
    <w:rsid w:val="64460178"/>
    <w:rsid w:val="659D3FA3"/>
    <w:rsid w:val="65B71DD9"/>
    <w:rsid w:val="666F1DE3"/>
    <w:rsid w:val="66B94E0C"/>
    <w:rsid w:val="66EC3434"/>
    <w:rsid w:val="67AA29A7"/>
    <w:rsid w:val="684B5F38"/>
    <w:rsid w:val="697119CE"/>
    <w:rsid w:val="6B8C2AEF"/>
    <w:rsid w:val="6BAC4F3F"/>
    <w:rsid w:val="6BF84629"/>
    <w:rsid w:val="6C186A79"/>
    <w:rsid w:val="6CF3094C"/>
    <w:rsid w:val="6DAA2AFC"/>
    <w:rsid w:val="6E056B89"/>
    <w:rsid w:val="6E755ABD"/>
    <w:rsid w:val="6ED6107F"/>
    <w:rsid w:val="725A0B52"/>
    <w:rsid w:val="725B321B"/>
    <w:rsid w:val="727E1867"/>
    <w:rsid w:val="72D444F2"/>
    <w:rsid w:val="762B1157"/>
    <w:rsid w:val="76571F4C"/>
    <w:rsid w:val="7782124A"/>
    <w:rsid w:val="789E20B4"/>
    <w:rsid w:val="78EC03CC"/>
    <w:rsid w:val="79907C4E"/>
    <w:rsid w:val="7A94551C"/>
    <w:rsid w:val="7B5D228A"/>
    <w:rsid w:val="7BB50ABC"/>
    <w:rsid w:val="7CE24C65"/>
    <w:rsid w:val="7DFF1847"/>
    <w:rsid w:val="7E05024D"/>
    <w:rsid w:val="7F387B0D"/>
    <w:rsid w:val="7F995383"/>
    <w:rsid w:val="7FE024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semiHidden="0" w:uiPriority="35" w:qFormat="1"/>
    <w:lsdException w:name="Title" w:semiHidden="0" w:uiPriority="10" w:unhideWhenUsed="0" w:qFormat="1"/>
    <w:lsdException w:name="Default Paragraph Font" w:uiPriority="1" w:qFormat="1"/>
    <w:lsdException w:name="Body Text" w:semiHidden="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qFormat="1"/>
    <w:lsdException w:name="Table Grid" w:semiHidden="0" w:uiPriority="39" w:unhideWhenUsed="0"/>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pPr>
      <w:widowControl w:val="0"/>
      <w:jc w:val="both"/>
    </w:pPr>
    <w:rPr>
      <w:kern w:val="2"/>
      <w:sz w:val="21"/>
      <w:szCs w:val="22"/>
      <w:lang w:eastAsia="zh-CN"/>
    </w:rPr>
  </w:style>
  <w:style w:type="paragraph" w:styleId="Heading3">
    <w:name w:val="heading 3"/>
    <w:basedOn w:val="Normal"/>
    <w:next w:val="BodyText"/>
    <w:link w:val="Heading3Char"/>
    <w:autoRedefine/>
    <w:uiPriority w:val="9"/>
    <w:semiHidden/>
    <w:unhideWhenUsed/>
    <w:qFormat/>
    <w:pPr>
      <w:keepNext/>
      <w:keepLines/>
      <w:widowControl/>
      <w:spacing w:before="200"/>
      <w:jc w:val="left"/>
      <w:outlineLvl w:val="2"/>
    </w:pPr>
    <w:rPr>
      <w:rFonts w:asciiTheme="majorHAnsi" w:eastAsiaTheme="majorEastAsia" w:hAnsiTheme="majorHAnsi" w:cstheme="majorBidi"/>
      <w:b/>
      <w:bCs/>
      <w:color w:val="4472C4" w:themeColor="accent1"/>
      <w:kern w:val="0"/>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autoRedefine/>
    <w:uiPriority w:val="99"/>
    <w:unhideWhenUsed/>
    <w:qFormat/>
    <w:pPr>
      <w:spacing w:after="120"/>
    </w:pPr>
  </w:style>
  <w:style w:type="paragraph" w:styleId="Caption">
    <w:name w:val="caption"/>
    <w:basedOn w:val="Normal"/>
    <w:next w:val="Normal"/>
    <w:autoRedefine/>
    <w:uiPriority w:val="35"/>
    <w:unhideWhenUsed/>
    <w:qFormat/>
    <w:pPr>
      <w:jc w:val="center"/>
    </w:pPr>
    <w:rPr>
      <w:rFonts w:ascii="Times New Roman" w:eastAsia="SimHei" w:hAnsi="Times New Roman" w:cs="Times New Roman"/>
      <w:sz w:val="20"/>
      <w:szCs w:val="20"/>
    </w:rPr>
  </w:style>
  <w:style w:type="paragraph" w:styleId="Footer">
    <w:name w:val="footer"/>
    <w:basedOn w:val="Normal"/>
    <w:link w:val="FooterChar"/>
    <w:autoRedefine/>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autoRedefine/>
    <w:uiPriority w:val="99"/>
    <w:unhideWhenUsed/>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autoRedefine/>
    <w:uiPriority w:val="99"/>
    <w:semiHidden/>
    <w:unhideWhenUsed/>
    <w:qFormat/>
    <w:pPr>
      <w:widowControl/>
      <w:spacing w:before="100" w:beforeAutospacing="1" w:after="100" w:afterAutospacing="1"/>
      <w:jc w:val="left"/>
    </w:pPr>
    <w:rPr>
      <w:rFonts w:ascii="SimSun" w:eastAsia="SimSun" w:hAnsi="SimSun" w:cs="SimSun"/>
      <w:kern w:val="0"/>
      <w:sz w:val="24"/>
      <w:szCs w:val="24"/>
    </w:rPr>
  </w:style>
  <w:style w:type="character" w:styleId="PlaceholderText">
    <w:name w:val="Placeholder Text"/>
    <w:basedOn w:val="DefaultParagraphFont"/>
    <w:autoRedefine/>
    <w:uiPriority w:val="99"/>
    <w:semiHidden/>
    <w:qFormat/>
    <w:rPr>
      <w:color w:val="808080"/>
    </w:rPr>
  </w:style>
  <w:style w:type="character" w:customStyle="1" w:styleId="Heading3Char">
    <w:name w:val="Heading 3 Char"/>
    <w:basedOn w:val="DefaultParagraphFont"/>
    <w:link w:val="Heading3"/>
    <w:autoRedefine/>
    <w:uiPriority w:val="9"/>
    <w:semiHidden/>
    <w:qFormat/>
    <w:rPr>
      <w:rFonts w:asciiTheme="majorHAnsi" w:eastAsiaTheme="majorEastAsia" w:hAnsiTheme="majorHAnsi" w:cstheme="majorBidi"/>
      <w:b/>
      <w:bCs/>
      <w:color w:val="4472C4" w:themeColor="accent1"/>
      <w:kern w:val="0"/>
      <w:sz w:val="24"/>
      <w:szCs w:val="24"/>
      <w:lang w:eastAsia="en-US"/>
    </w:rPr>
  </w:style>
  <w:style w:type="paragraph" w:customStyle="1" w:styleId="FirstParagraph">
    <w:name w:val="First Paragraph"/>
    <w:basedOn w:val="BodyText"/>
    <w:next w:val="BodyText"/>
    <w:autoRedefine/>
    <w:qFormat/>
    <w:pPr>
      <w:widowControl/>
      <w:spacing w:before="180" w:after="180"/>
      <w:jc w:val="left"/>
    </w:pPr>
    <w:rPr>
      <w:kern w:val="0"/>
      <w:sz w:val="24"/>
      <w:szCs w:val="24"/>
      <w:lang w:eastAsia="en-US"/>
    </w:rPr>
  </w:style>
  <w:style w:type="character" w:customStyle="1" w:styleId="VerbatimChar">
    <w:name w:val="Verbatim Char"/>
    <w:basedOn w:val="DefaultParagraphFont"/>
    <w:link w:val="SourceCode"/>
    <w:autoRedefine/>
    <w:qFormat/>
    <w:locked/>
    <w:rPr>
      <w:rFonts w:ascii="Consolas" w:hAnsi="Consolas"/>
      <w:sz w:val="22"/>
    </w:rPr>
  </w:style>
  <w:style w:type="paragraph" w:customStyle="1" w:styleId="SourceCode">
    <w:name w:val="Source Code"/>
    <w:basedOn w:val="Normal"/>
    <w:link w:val="VerbatimChar"/>
    <w:autoRedefine/>
    <w:qFormat/>
    <w:pPr>
      <w:widowControl/>
      <w:wordWrap w:val="0"/>
      <w:spacing w:after="200"/>
      <w:jc w:val="left"/>
    </w:pPr>
    <w:rPr>
      <w:rFonts w:ascii="Consolas" w:hAnsi="Consolas"/>
      <w:sz w:val="22"/>
    </w:rPr>
  </w:style>
  <w:style w:type="character" w:customStyle="1" w:styleId="FunctionTok">
    <w:name w:val="FunctionTok"/>
    <w:basedOn w:val="VerbatimChar"/>
    <w:autoRedefine/>
    <w:qFormat/>
    <w:rPr>
      <w:rFonts w:ascii="Consolas" w:hAnsi="Consolas"/>
      <w:color w:val="06287E"/>
      <w:sz w:val="22"/>
    </w:rPr>
  </w:style>
  <w:style w:type="character" w:customStyle="1" w:styleId="NormalTok">
    <w:name w:val="NormalTok"/>
    <w:basedOn w:val="VerbatimChar"/>
    <w:autoRedefine/>
    <w:qFormat/>
    <w:rPr>
      <w:rFonts w:ascii="Consolas" w:hAnsi="Consolas"/>
      <w:sz w:val="22"/>
    </w:rPr>
  </w:style>
  <w:style w:type="character" w:customStyle="1" w:styleId="BodyTextChar">
    <w:name w:val="Body Text Char"/>
    <w:basedOn w:val="DefaultParagraphFont"/>
    <w:link w:val="BodyText"/>
    <w:autoRedefine/>
    <w:uiPriority w:val="99"/>
    <w:qFormat/>
  </w:style>
  <w:style w:type="paragraph" w:styleId="ListParagraph">
    <w:name w:val="List Paragraph"/>
    <w:basedOn w:val="Normal"/>
    <w:autoRedefine/>
    <w:uiPriority w:val="34"/>
    <w:qFormat/>
    <w:pPr>
      <w:ind w:firstLineChars="200" w:firstLine="420"/>
    </w:pPr>
  </w:style>
  <w:style w:type="character" w:customStyle="1" w:styleId="HeaderChar">
    <w:name w:val="Header Char"/>
    <w:basedOn w:val="DefaultParagraphFont"/>
    <w:link w:val="Header"/>
    <w:autoRedefine/>
    <w:uiPriority w:val="99"/>
    <w:qFormat/>
    <w:rPr>
      <w:sz w:val="18"/>
      <w:szCs w:val="18"/>
    </w:rPr>
  </w:style>
  <w:style w:type="character" w:customStyle="1" w:styleId="FooterChar">
    <w:name w:val="Footer Char"/>
    <w:basedOn w:val="DefaultParagraphFont"/>
    <w:link w:val="Footer"/>
    <w:autoRedefine/>
    <w:uiPriority w:val="99"/>
    <w:qFormat/>
    <w:rPr>
      <w:sz w:val="18"/>
      <w:szCs w:val="18"/>
    </w:rPr>
  </w:style>
  <w:style w:type="paragraph" w:customStyle="1" w:styleId="Head1">
    <w:name w:val="Head 1"/>
    <w:basedOn w:val="Normal"/>
    <w:autoRedefine/>
    <w:qFormat/>
    <w:pPr>
      <w:spacing w:line="360" w:lineRule="auto"/>
    </w:pPr>
    <w:rPr>
      <w:b/>
    </w:rPr>
  </w:style>
  <w:style w:type="paragraph" w:styleId="BalloonText">
    <w:name w:val="Balloon Text"/>
    <w:basedOn w:val="Normal"/>
    <w:link w:val="BalloonTextChar"/>
    <w:uiPriority w:val="99"/>
    <w:semiHidden/>
    <w:unhideWhenUsed/>
    <w:rsid w:val="00BC6E9E"/>
    <w:rPr>
      <w:rFonts w:ascii="Tahoma" w:hAnsi="Tahoma" w:cs="Tahoma"/>
      <w:sz w:val="16"/>
      <w:szCs w:val="16"/>
    </w:rPr>
  </w:style>
  <w:style w:type="character" w:customStyle="1" w:styleId="BalloonTextChar">
    <w:name w:val="Balloon Text Char"/>
    <w:basedOn w:val="DefaultParagraphFont"/>
    <w:link w:val="BalloonText"/>
    <w:uiPriority w:val="99"/>
    <w:semiHidden/>
    <w:rsid w:val="00BC6E9E"/>
    <w:rPr>
      <w:rFonts w:ascii="Tahoma" w:hAnsi="Tahoma" w:cs="Tahoma"/>
      <w:kern w:val="2"/>
      <w:sz w:val="16"/>
      <w:szCs w:val="1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semiHidden="0" w:uiPriority="35" w:qFormat="1"/>
    <w:lsdException w:name="Title" w:semiHidden="0" w:uiPriority="10" w:unhideWhenUsed="0" w:qFormat="1"/>
    <w:lsdException w:name="Default Paragraph Font" w:uiPriority="1" w:qFormat="1"/>
    <w:lsdException w:name="Body Text" w:semiHidden="0"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Normal Table" w:qFormat="1"/>
    <w:lsdException w:name="Table Grid" w:semiHidden="0" w:uiPriority="39" w:unhideWhenUsed="0"/>
    <w:lsdException w:name="Placeholder Text"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utoRedefine/>
    <w:qFormat/>
    <w:pPr>
      <w:widowControl w:val="0"/>
      <w:jc w:val="both"/>
    </w:pPr>
    <w:rPr>
      <w:kern w:val="2"/>
      <w:sz w:val="21"/>
      <w:szCs w:val="22"/>
      <w:lang w:eastAsia="zh-CN"/>
    </w:rPr>
  </w:style>
  <w:style w:type="paragraph" w:styleId="Heading3">
    <w:name w:val="heading 3"/>
    <w:basedOn w:val="Normal"/>
    <w:next w:val="BodyText"/>
    <w:link w:val="Heading3Char"/>
    <w:autoRedefine/>
    <w:uiPriority w:val="9"/>
    <w:semiHidden/>
    <w:unhideWhenUsed/>
    <w:qFormat/>
    <w:pPr>
      <w:keepNext/>
      <w:keepLines/>
      <w:widowControl/>
      <w:spacing w:before="200"/>
      <w:jc w:val="left"/>
      <w:outlineLvl w:val="2"/>
    </w:pPr>
    <w:rPr>
      <w:rFonts w:asciiTheme="majorHAnsi" w:eastAsiaTheme="majorEastAsia" w:hAnsiTheme="majorHAnsi" w:cstheme="majorBidi"/>
      <w:b/>
      <w:bCs/>
      <w:color w:val="4472C4" w:themeColor="accent1"/>
      <w:kern w:val="0"/>
      <w:sz w:val="24"/>
      <w:szCs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autoRedefine/>
    <w:uiPriority w:val="99"/>
    <w:unhideWhenUsed/>
    <w:qFormat/>
    <w:pPr>
      <w:spacing w:after="120"/>
    </w:pPr>
  </w:style>
  <w:style w:type="paragraph" w:styleId="Caption">
    <w:name w:val="caption"/>
    <w:basedOn w:val="Normal"/>
    <w:next w:val="Normal"/>
    <w:autoRedefine/>
    <w:uiPriority w:val="35"/>
    <w:unhideWhenUsed/>
    <w:qFormat/>
    <w:pPr>
      <w:jc w:val="center"/>
    </w:pPr>
    <w:rPr>
      <w:rFonts w:ascii="Times New Roman" w:eastAsia="SimHei" w:hAnsi="Times New Roman" w:cs="Times New Roman"/>
      <w:sz w:val="20"/>
      <w:szCs w:val="20"/>
    </w:rPr>
  </w:style>
  <w:style w:type="paragraph" w:styleId="Footer">
    <w:name w:val="footer"/>
    <w:basedOn w:val="Normal"/>
    <w:link w:val="FooterChar"/>
    <w:autoRedefine/>
    <w:uiPriority w:val="99"/>
    <w:unhideWhenUsed/>
    <w:qFormat/>
    <w:pPr>
      <w:tabs>
        <w:tab w:val="center" w:pos="4153"/>
        <w:tab w:val="right" w:pos="8306"/>
      </w:tabs>
      <w:snapToGrid w:val="0"/>
      <w:jc w:val="left"/>
    </w:pPr>
    <w:rPr>
      <w:sz w:val="18"/>
      <w:szCs w:val="18"/>
    </w:rPr>
  </w:style>
  <w:style w:type="paragraph" w:styleId="Header">
    <w:name w:val="header"/>
    <w:basedOn w:val="Normal"/>
    <w:link w:val="HeaderChar"/>
    <w:autoRedefine/>
    <w:uiPriority w:val="99"/>
    <w:unhideWhenUsed/>
    <w:qFormat/>
    <w:pPr>
      <w:pBdr>
        <w:bottom w:val="single" w:sz="6" w:space="1" w:color="auto"/>
      </w:pBdr>
      <w:tabs>
        <w:tab w:val="center" w:pos="4153"/>
        <w:tab w:val="right" w:pos="8306"/>
      </w:tabs>
      <w:snapToGrid w:val="0"/>
      <w:jc w:val="center"/>
    </w:pPr>
    <w:rPr>
      <w:sz w:val="18"/>
      <w:szCs w:val="18"/>
    </w:rPr>
  </w:style>
  <w:style w:type="paragraph" w:styleId="NormalWeb">
    <w:name w:val="Normal (Web)"/>
    <w:basedOn w:val="Normal"/>
    <w:autoRedefine/>
    <w:uiPriority w:val="99"/>
    <w:semiHidden/>
    <w:unhideWhenUsed/>
    <w:qFormat/>
    <w:pPr>
      <w:widowControl/>
      <w:spacing w:before="100" w:beforeAutospacing="1" w:after="100" w:afterAutospacing="1"/>
      <w:jc w:val="left"/>
    </w:pPr>
    <w:rPr>
      <w:rFonts w:ascii="SimSun" w:eastAsia="SimSun" w:hAnsi="SimSun" w:cs="SimSun"/>
      <w:kern w:val="0"/>
      <w:sz w:val="24"/>
      <w:szCs w:val="24"/>
    </w:rPr>
  </w:style>
  <w:style w:type="character" w:styleId="PlaceholderText">
    <w:name w:val="Placeholder Text"/>
    <w:basedOn w:val="DefaultParagraphFont"/>
    <w:autoRedefine/>
    <w:uiPriority w:val="99"/>
    <w:semiHidden/>
    <w:qFormat/>
    <w:rPr>
      <w:color w:val="808080"/>
    </w:rPr>
  </w:style>
  <w:style w:type="character" w:customStyle="1" w:styleId="Heading3Char">
    <w:name w:val="Heading 3 Char"/>
    <w:basedOn w:val="DefaultParagraphFont"/>
    <w:link w:val="Heading3"/>
    <w:autoRedefine/>
    <w:uiPriority w:val="9"/>
    <w:semiHidden/>
    <w:qFormat/>
    <w:rPr>
      <w:rFonts w:asciiTheme="majorHAnsi" w:eastAsiaTheme="majorEastAsia" w:hAnsiTheme="majorHAnsi" w:cstheme="majorBidi"/>
      <w:b/>
      <w:bCs/>
      <w:color w:val="4472C4" w:themeColor="accent1"/>
      <w:kern w:val="0"/>
      <w:sz w:val="24"/>
      <w:szCs w:val="24"/>
      <w:lang w:eastAsia="en-US"/>
    </w:rPr>
  </w:style>
  <w:style w:type="paragraph" w:customStyle="1" w:styleId="FirstParagraph">
    <w:name w:val="First Paragraph"/>
    <w:basedOn w:val="BodyText"/>
    <w:next w:val="BodyText"/>
    <w:autoRedefine/>
    <w:qFormat/>
    <w:pPr>
      <w:widowControl/>
      <w:spacing w:before="180" w:after="180"/>
      <w:jc w:val="left"/>
    </w:pPr>
    <w:rPr>
      <w:kern w:val="0"/>
      <w:sz w:val="24"/>
      <w:szCs w:val="24"/>
      <w:lang w:eastAsia="en-US"/>
    </w:rPr>
  </w:style>
  <w:style w:type="character" w:customStyle="1" w:styleId="VerbatimChar">
    <w:name w:val="Verbatim Char"/>
    <w:basedOn w:val="DefaultParagraphFont"/>
    <w:link w:val="SourceCode"/>
    <w:autoRedefine/>
    <w:qFormat/>
    <w:locked/>
    <w:rPr>
      <w:rFonts w:ascii="Consolas" w:hAnsi="Consolas"/>
      <w:sz w:val="22"/>
    </w:rPr>
  </w:style>
  <w:style w:type="paragraph" w:customStyle="1" w:styleId="SourceCode">
    <w:name w:val="Source Code"/>
    <w:basedOn w:val="Normal"/>
    <w:link w:val="VerbatimChar"/>
    <w:autoRedefine/>
    <w:qFormat/>
    <w:pPr>
      <w:widowControl/>
      <w:wordWrap w:val="0"/>
      <w:spacing w:after="200"/>
      <w:jc w:val="left"/>
    </w:pPr>
    <w:rPr>
      <w:rFonts w:ascii="Consolas" w:hAnsi="Consolas"/>
      <w:sz w:val="22"/>
    </w:rPr>
  </w:style>
  <w:style w:type="character" w:customStyle="1" w:styleId="FunctionTok">
    <w:name w:val="FunctionTok"/>
    <w:basedOn w:val="VerbatimChar"/>
    <w:autoRedefine/>
    <w:qFormat/>
    <w:rPr>
      <w:rFonts w:ascii="Consolas" w:hAnsi="Consolas"/>
      <w:color w:val="06287E"/>
      <w:sz w:val="22"/>
    </w:rPr>
  </w:style>
  <w:style w:type="character" w:customStyle="1" w:styleId="NormalTok">
    <w:name w:val="NormalTok"/>
    <w:basedOn w:val="VerbatimChar"/>
    <w:autoRedefine/>
    <w:qFormat/>
    <w:rPr>
      <w:rFonts w:ascii="Consolas" w:hAnsi="Consolas"/>
      <w:sz w:val="22"/>
    </w:rPr>
  </w:style>
  <w:style w:type="character" w:customStyle="1" w:styleId="BodyTextChar">
    <w:name w:val="Body Text Char"/>
    <w:basedOn w:val="DefaultParagraphFont"/>
    <w:link w:val="BodyText"/>
    <w:autoRedefine/>
    <w:uiPriority w:val="99"/>
    <w:qFormat/>
  </w:style>
  <w:style w:type="paragraph" w:styleId="ListParagraph">
    <w:name w:val="List Paragraph"/>
    <w:basedOn w:val="Normal"/>
    <w:autoRedefine/>
    <w:uiPriority w:val="34"/>
    <w:qFormat/>
    <w:pPr>
      <w:ind w:firstLineChars="200" w:firstLine="420"/>
    </w:pPr>
  </w:style>
  <w:style w:type="character" w:customStyle="1" w:styleId="HeaderChar">
    <w:name w:val="Header Char"/>
    <w:basedOn w:val="DefaultParagraphFont"/>
    <w:link w:val="Header"/>
    <w:autoRedefine/>
    <w:uiPriority w:val="99"/>
    <w:qFormat/>
    <w:rPr>
      <w:sz w:val="18"/>
      <w:szCs w:val="18"/>
    </w:rPr>
  </w:style>
  <w:style w:type="character" w:customStyle="1" w:styleId="FooterChar">
    <w:name w:val="Footer Char"/>
    <w:basedOn w:val="DefaultParagraphFont"/>
    <w:link w:val="Footer"/>
    <w:autoRedefine/>
    <w:uiPriority w:val="99"/>
    <w:qFormat/>
    <w:rPr>
      <w:sz w:val="18"/>
      <w:szCs w:val="18"/>
    </w:rPr>
  </w:style>
  <w:style w:type="paragraph" w:customStyle="1" w:styleId="Head1">
    <w:name w:val="Head 1"/>
    <w:basedOn w:val="Normal"/>
    <w:autoRedefine/>
    <w:qFormat/>
    <w:pPr>
      <w:spacing w:line="360" w:lineRule="auto"/>
    </w:pPr>
    <w:rPr>
      <w:b/>
    </w:rPr>
  </w:style>
  <w:style w:type="paragraph" w:styleId="BalloonText">
    <w:name w:val="Balloon Text"/>
    <w:basedOn w:val="Normal"/>
    <w:link w:val="BalloonTextChar"/>
    <w:uiPriority w:val="99"/>
    <w:semiHidden/>
    <w:unhideWhenUsed/>
    <w:rsid w:val="00BC6E9E"/>
    <w:rPr>
      <w:rFonts w:ascii="Tahoma" w:hAnsi="Tahoma" w:cs="Tahoma"/>
      <w:sz w:val="16"/>
      <w:szCs w:val="16"/>
    </w:rPr>
  </w:style>
  <w:style w:type="character" w:customStyle="1" w:styleId="BalloonTextChar">
    <w:name w:val="Balloon Text Char"/>
    <w:basedOn w:val="DefaultParagraphFont"/>
    <w:link w:val="BalloonText"/>
    <w:uiPriority w:val="99"/>
    <w:semiHidden/>
    <w:rsid w:val="00BC6E9E"/>
    <w:rPr>
      <w:rFonts w:ascii="Tahoma" w:hAnsi="Tahoma" w:cs="Tahoma"/>
      <w:kern w:val="2"/>
      <w:sz w:val="16"/>
      <w:szCs w:val="16"/>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4.tiff"/><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tiff"/><Relationship Id="rId38"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tiff"/><Relationship Id="rId37" Type="http://schemas.openxmlformats.org/officeDocument/2006/relationships/image" Target="media/image30.tiff"/><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image" Target="media/image20.emf"/><Relationship Id="rId30" Type="http://schemas.openxmlformats.org/officeDocument/2006/relationships/image" Target="media/image23.png"/><Relationship Id="rId35"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2054</Words>
  <Characters>12491</Characters>
  <Application>Microsoft Office Word</Application>
  <DocSecurity>0</DocSecurity>
  <Lines>140</Lines>
  <Paragraphs>37</Paragraphs>
  <ScaleCrop>false</ScaleCrop>
  <Company/>
  <LinksUpToDate>false</LinksUpToDate>
  <CharactersWithSpaces>14508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康韩</dc:creator>
  <cp:lastModifiedBy>Power Edit 6.0</cp:lastModifiedBy>
  <cp:revision>105</cp:revision>
  <cp:lastPrinted>2024-04-28T12:42:00Z</cp:lastPrinted>
  <dcterms:created xsi:type="dcterms:W3CDTF">2024-02-01T06:41:00Z</dcterms:created>
  <dcterms:modified xsi:type="dcterms:W3CDTF">2024-11-05T17:07:00Z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887D020A19C04267BA9B680DA00BB52F_13</vt:lpwstr>
  </property>
</Properties>
</file>