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DA4" w:rsidRDefault="007B3DA4" w:rsidP="007B3DA4">
      <w:pPr>
        <w:pStyle w:val="Title2"/>
        <w:spacing w:line="480" w:lineRule="auto"/>
        <w:rPr>
          <w:rFonts w:eastAsiaTheme="minorEastAsia"/>
          <w:b w:val="0"/>
          <w:sz w:val="32"/>
          <w:szCs w:val="32"/>
          <w:lang w:eastAsia="zh-CN"/>
        </w:rPr>
      </w:pPr>
      <w:r>
        <w:rPr>
          <w:b w:val="0"/>
          <w:sz w:val="32"/>
          <w:szCs w:val="32"/>
        </w:rPr>
        <w:t xml:space="preserve">Supporting Information </w:t>
      </w:r>
      <w:r>
        <w:rPr>
          <w:rFonts w:eastAsiaTheme="minorEastAsia"/>
          <w:b w:val="0"/>
          <w:sz w:val="32"/>
          <w:szCs w:val="32"/>
          <w:lang w:eastAsia="zh-CN"/>
        </w:rPr>
        <w:t>for</w:t>
      </w:r>
    </w:p>
    <w:p w:rsidR="007B3DA4" w:rsidRDefault="007B3DA4" w:rsidP="007B3DA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Built-in Oriented Electric Field Facilitating Durable Zn-MnO</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Battery</w:t>
      </w:r>
    </w:p>
    <w:p w:rsidR="007B3DA4" w:rsidRDefault="007B3DA4" w:rsidP="007B3DA4">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Sitian Lian</w:t>
      </w:r>
      <w:r>
        <w:rPr>
          <w:rFonts w:ascii="Times New Roman" w:hAnsi="Times New Roman" w:cs="Times New Roman"/>
          <w:sz w:val="24"/>
          <w:szCs w:val="24"/>
          <w:vertAlign w:val="superscript"/>
        </w:rPr>
        <w:t>1#</w:t>
      </w:r>
      <w:r>
        <w:rPr>
          <w:rFonts w:ascii="Times New Roman" w:hAnsi="Times New Roman" w:cs="Times New Roman"/>
          <w:sz w:val="24"/>
          <w:szCs w:val="24"/>
        </w:rPr>
        <w:t>, Congli Sun</w:t>
      </w:r>
      <w:r>
        <w:rPr>
          <w:rFonts w:ascii="Times New Roman" w:hAnsi="Times New Roman" w:cs="Times New Roman"/>
          <w:sz w:val="24"/>
          <w:szCs w:val="24"/>
          <w:vertAlign w:val="superscript"/>
        </w:rPr>
        <w:t>1#</w:t>
      </w:r>
      <w:r>
        <w:rPr>
          <w:rFonts w:ascii="Times New Roman" w:hAnsi="Times New Roman" w:cs="Times New Roman"/>
          <w:sz w:val="24"/>
          <w:szCs w:val="24"/>
        </w:rPr>
        <w:t>, Weina Xu</w:t>
      </w:r>
      <w:r>
        <w:rPr>
          <w:rFonts w:ascii="Times New Roman" w:hAnsi="Times New Roman" w:cs="Times New Roman"/>
          <w:sz w:val="24"/>
          <w:szCs w:val="24"/>
          <w:vertAlign w:val="superscript"/>
        </w:rPr>
        <w:t>2,3,4#</w:t>
      </w:r>
      <w:r>
        <w:rPr>
          <w:rFonts w:ascii="Times New Roman" w:hAnsi="Times New Roman" w:cs="Times New Roman"/>
          <w:sz w:val="24"/>
          <w:szCs w:val="24"/>
        </w:rPr>
        <w:t>, Wangchen Huo</w:t>
      </w:r>
      <w:r>
        <w:rPr>
          <w:rFonts w:ascii="Times New Roman" w:hAnsi="Times New Roman" w:cs="Times New Roman"/>
          <w:sz w:val="24"/>
          <w:szCs w:val="24"/>
          <w:vertAlign w:val="superscript"/>
        </w:rPr>
        <w:t>4</w:t>
      </w:r>
      <w:r>
        <w:rPr>
          <w:rFonts w:ascii="Times New Roman" w:hAnsi="Times New Roman" w:cs="Times New Roman"/>
          <w:sz w:val="24"/>
          <w:szCs w:val="24"/>
        </w:rPr>
        <w:t>, Yanzhu Luo</w:t>
      </w:r>
      <w:r>
        <w:rPr>
          <w:rFonts w:ascii="Times New Roman" w:hAnsi="Times New Roman" w:cs="Times New Roman"/>
          <w:sz w:val="24"/>
          <w:szCs w:val="24"/>
          <w:vertAlign w:val="superscript"/>
        </w:rPr>
        <w:t>5</w:t>
      </w:r>
      <w:r>
        <w:rPr>
          <w:rFonts w:ascii="Times New Roman" w:hAnsi="Times New Roman" w:cs="Times New Roman"/>
          <w:sz w:val="24"/>
          <w:szCs w:val="24"/>
        </w:rPr>
        <w:t>, Kangning Zhao</w:t>
      </w:r>
      <w:r>
        <w:rPr>
          <w:rFonts w:ascii="Times New Roman" w:hAnsi="Times New Roman" w:cs="Times New Roman"/>
          <w:sz w:val="24"/>
          <w:szCs w:val="24"/>
          <w:vertAlign w:val="superscript"/>
        </w:rPr>
        <w:t>1,2</w:t>
      </w:r>
      <w:r>
        <w:rPr>
          <w:rFonts w:ascii="Cambria Math" w:hAnsi="Cambria Math" w:cs="Cambria Math"/>
          <w:sz w:val="24"/>
          <w:szCs w:val="24"/>
          <w:vertAlign w:val="superscript"/>
        </w:rPr>
        <w:t>∗</w:t>
      </w:r>
      <w:r>
        <w:rPr>
          <w:rFonts w:ascii="Times New Roman" w:hAnsi="Times New Roman" w:cs="Times New Roman"/>
          <w:sz w:val="24"/>
          <w:szCs w:val="24"/>
        </w:rPr>
        <w:t>, Guang Yao</w:t>
      </w:r>
      <w:r>
        <w:rPr>
          <w:rFonts w:ascii="Times New Roman" w:hAnsi="Times New Roman" w:cs="Times New Roman"/>
          <w:sz w:val="24"/>
          <w:szCs w:val="24"/>
          <w:vertAlign w:val="superscript"/>
        </w:rPr>
        <w:t>3</w:t>
      </w:r>
      <w:r>
        <w:rPr>
          <w:rFonts w:ascii="Times New Roman" w:hAnsi="Times New Roman" w:cs="Times New Roman"/>
          <w:sz w:val="24"/>
          <w:szCs w:val="24"/>
        </w:rPr>
        <w:t>, Wangwang Xu</w:t>
      </w:r>
      <w:r>
        <w:rPr>
          <w:rFonts w:ascii="Times New Roman" w:hAnsi="Times New Roman" w:cs="Times New Roman"/>
          <w:sz w:val="24"/>
          <w:szCs w:val="24"/>
          <w:vertAlign w:val="superscript"/>
        </w:rPr>
        <w:t>6</w:t>
      </w:r>
      <w:r>
        <w:rPr>
          <w:rFonts w:ascii="Times New Roman" w:hAnsi="Times New Roman" w:cs="Times New Roman"/>
          <w:sz w:val="24"/>
          <w:szCs w:val="24"/>
        </w:rPr>
        <w:t>, Yuxin Zhang</w:t>
      </w:r>
      <w:r>
        <w:rPr>
          <w:rFonts w:ascii="Times New Roman" w:hAnsi="Times New Roman" w:cs="Times New Roman"/>
          <w:sz w:val="24"/>
          <w:szCs w:val="24"/>
          <w:vertAlign w:val="superscript"/>
        </w:rPr>
        <w:t>4</w:t>
      </w:r>
      <w:r>
        <w:rPr>
          <w:rFonts w:ascii="Times New Roman" w:hAnsi="Times New Roman" w:cs="Times New Roman"/>
          <w:sz w:val="24"/>
          <w:szCs w:val="24"/>
        </w:rPr>
        <w:t>,</w:t>
      </w:r>
      <w:r>
        <w:t xml:space="preserve"> </w:t>
      </w:r>
      <w:r>
        <w:rPr>
          <w:rFonts w:ascii="Times New Roman" w:hAnsi="Times New Roman" w:cs="Times New Roman"/>
          <w:sz w:val="24"/>
          <w:szCs w:val="24"/>
        </w:rPr>
        <w:t>Zhi Li</w:t>
      </w:r>
      <w:r>
        <w:rPr>
          <w:rFonts w:ascii="Times New Roman" w:hAnsi="Times New Roman" w:cs="Times New Roman"/>
          <w:sz w:val="24"/>
          <w:szCs w:val="24"/>
          <w:vertAlign w:val="superscript"/>
        </w:rPr>
        <w:t>1</w:t>
      </w:r>
      <w:r>
        <w:rPr>
          <w:rFonts w:ascii="Times New Roman" w:hAnsi="Times New Roman" w:cs="Times New Roman"/>
          <w:sz w:val="24"/>
          <w:szCs w:val="24"/>
        </w:rPr>
        <w:t>, Kesong Yu</w:t>
      </w:r>
      <w:r>
        <w:rPr>
          <w:rFonts w:ascii="Times New Roman" w:hAnsi="Times New Roman" w:cs="Times New Roman"/>
          <w:sz w:val="24"/>
          <w:szCs w:val="24"/>
          <w:vertAlign w:val="superscript"/>
        </w:rPr>
        <w:t>1</w:t>
      </w:r>
      <w:r>
        <w:rPr>
          <w:rFonts w:ascii="Times New Roman" w:hAnsi="Times New Roman" w:cs="Times New Roman"/>
          <w:sz w:val="24"/>
          <w:szCs w:val="24"/>
        </w:rPr>
        <w:t>, Hongbin Zhao</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Hongwei Cheng</w:t>
      </w:r>
      <w:r>
        <w:rPr>
          <w:rFonts w:ascii="Times New Roman" w:hAnsi="Times New Roman" w:cs="Times New Roman"/>
          <w:sz w:val="24"/>
          <w:szCs w:val="24"/>
          <w:vertAlign w:val="superscript"/>
        </w:rPr>
        <w:t>2,3</w:t>
      </w:r>
      <w:r>
        <w:rPr>
          <w:rFonts w:ascii="Times New Roman" w:hAnsi="Times New Roman" w:cs="Times New Roman"/>
          <w:sz w:val="24"/>
          <w:szCs w:val="24"/>
        </w:rPr>
        <w:t>, Jiujun Zhang</w:t>
      </w:r>
      <w:r>
        <w:rPr>
          <w:rFonts w:ascii="Times New Roman" w:hAnsi="Times New Roman" w:cs="Times New Roman"/>
          <w:sz w:val="24"/>
          <w:szCs w:val="24"/>
          <w:vertAlign w:val="superscript"/>
        </w:rPr>
        <w:t>2</w:t>
      </w:r>
      <w:r>
        <w:rPr>
          <w:rFonts w:ascii="Times New Roman" w:hAnsi="Times New Roman" w:cs="Times New Roman"/>
          <w:sz w:val="24"/>
          <w:szCs w:val="24"/>
        </w:rPr>
        <w:t>, Liqiang Mai</w:t>
      </w:r>
      <w:r>
        <w:rPr>
          <w:rFonts w:ascii="Times New Roman" w:hAnsi="Times New Roman" w:cs="Times New Roman"/>
          <w:sz w:val="24"/>
          <w:szCs w:val="24"/>
          <w:vertAlign w:val="superscript"/>
        </w:rPr>
        <w:t>1</w:t>
      </w:r>
      <w:r>
        <w:rPr>
          <w:rFonts w:ascii="Cambria Math" w:hAnsi="Cambria Math" w:cs="Cambria Math"/>
          <w:sz w:val="24"/>
          <w:szCs w:val="24"/>
          <w:vertAlign w:val="superscript"/>
        </w:rPr>
        <w:t>∗</w:t>
      </w:r>
    </w:p>
    <w:p w:rsidR="007B3DA4" w:rsidRDefault="007B3DA4" w:rsidP="007B3DA4">
      <w:pPr>
        <w:spacing w:line="480" w:lineRule="auto"/>
        <w:jc w:val="both"/>
        <w:rPr>
          <w:rFonts w:ascii="Times New Roman" w:hAnsi="Times New Roman" w:cs="Times New Roman"/>
          <w:sz w:val="24"/>
          <w:szCs w:val="24"/>
        </w:rPr>
      </w:pPr>
      <w:r>
        <w:rPr>
          <w:rFonts w:ascii="Times New Roman" w:hAnsi="Times New Roman" w:cs="Times New Roman"/>
          <w:sz w:val="24"/>
          <w:szCs w:val="24"/>
        </w:rPr>
        <w:t>1. States State Key Laboratory of Advanced Technology for Materials Synthesis and Processing, Wuhan University of Technology, Wuhan 430070, P. R. China</w:t>
      </w:r>
    </w:p>
    <w:p w:rsidR="007B3DA4" w:rsidRDefault="007B3DA4" w:rsidP="007B3DA4">
      <w:pPr>
        <w:pStyle w:val="Addresses"/>
        <w:spacing w:line="480" w:lineRule="auto"/>
        <w:rPr>
          <w:rFonts w:eastAsia="宋体"/>
          <w:lang w:val="it-IT" w:eastAsia="zh-CN"/>
        </w:rPr>
      </w:pPr>
      <w:r>
        <w:rPr>
          <w:rFonts w:eastAsia="宋体"/>
          <w:lang w:val="it-IT" w:eastAsia="zh-CN"/>
        </w:rPr>
        <w:t xml:space="preserve">E-mail: vicyel@126.com(K.Z.); </w:t>
      </w:r>
      <w:hyperlink r:id="rId5" w:history="1">
        <w:r>
          <w:rPr>
            <w:rStyle w:val="Hyperlink"/>
            <w:color w:val="auto"/>
            <w:lang w:val="it-IT"/>
          </w:rPr>
          <w:t>mlq518@whut.edu.cn</w:t>
        </w:r>
      </w:hyperlink>
      <w:r>
        <w:rPr>
          <w:rFonts w:eastAsia="宋体"/>
          <w:lang w:val="it-IT" w:eastAsia="zh-CN"/>
        </w:rPr>
        <w:t xml:space="preserve"> (</w:t>
      </w:r>
      <w:r>
        <w:rPr>
          <w:lang w:val="it-IT"/>
        </w:rPr>
        <w:t>L</w:t>
      </w:r>
      <w:r>
        <w:rPr>
          <w:rFonts w:eastAsiaTheme="minorEastAsia"/>
          <w:lang w:val="it-IT" w:eastAsia="zh-CN"/>
        </w:rPr>
        <w:t>.M.</w:t>
      </w:r>
      <w:r>
        <w:rPr>
          <w:rFonts w:eastAsia="宋体"/>
          <w:lang w:val="it-IT" w:eastAsia="zh-CN"/>
        </w:rPr>
        <w:t xml:space="preserve">) </w:t>
      </w:r>
    </w:p>
    <w:p w:rsidR="007B3DA4" w:rsidRDefault="007B3DA4" w:rsidP="007B3DA4">
      <w:pPr>
        <w:spacing w:line="480" w:lineRule="auto"/>
        <w:jc w:val="both"/>
        <w:rPr>
          <w:rFonts w:ascii="Times New Roman" w:hAnsi="Times New Roman" w:cs="Times New Roman"/>
          <w:sz w:val="24"/>
          <w:szCs w:val="24"/>
        </w:rPr>
      </w:pPr>
      <w:r>
        <w:rPr>
          <w:rFonts w:ascii="Times New Roman" w:hAnsi="Times New Roman" w:cs="Times New Roman"/>
          <w:sz w:val="24"/>
          <w:szCs w:val="24"/>
        </w:rPr>
        <w:t>2. College of Sciences &amp; Institute for Sustainable Energy, Shanghai University, Shanghai 200444, China</w:t>
      </w:r>
    </w:p>
    <w:p w:rsidR="007B3DA4" w:rsidRDefault="007B3DA4" w:rsidP="007B3DA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Department of Material Science and Engineering, University of Wisconsin-Madison, Madison, Wisconsin 53706, USA </w:t>
      </w:r>
    </w:p>
    <w:p w:rsidR="007B3DA4" w:rsidRDefault="007B3DA4" w:rsidP="007B3DA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College of Materials Science and Engineering, Chongqing University, Chongqing 400044, China </w:t>
      </w:r>
    </w:p>
    <w:p w:rsidR="007B3DA4" w:rsidRDefault="007B3DA4" w:rsidP="007B3DA4">
      <w:pPr>
        <w:spacing w:line="480" w:lineRule="auto"/>
        <w:jc w:val="both"/>
        <w:rPr>
          <w:rFonts w:ascii="Times New Roman" w:hAnsi="Times New Roman" w:cs="Times New Roman"/>
          <w:b/>
          <w:sz w:val="24"/>
          <w:szCs w:val="24"/>
        </w:rPr>
      </w:pPr>
      <w:r>
        <w:rPr>
          <w:rFonts w:ascii="Times New Roman" w:hAnsi="Times New Roman" w:cs="Times New Roman"/>
          <w:sz w:val="24"/>
          <w:szCs w:val="24"/>
        </w:rPr>
        <w:t>5. College of Science, Huazhong Agricultural University, Wuhan 430070, China</w:t>
      </w:r>
    </w:p>
    <w:p w:rsidR="007B3DA4" w:rsidRDefault="007B3DA4" w:rsidP="007B3DA4">
      <w:pPr>
        <w:spacing w:line="480" w:lineRule="auto"/>
        <w:jc w:val="both"/>
        <w:rPr>
          <w:rFonts w:ascii="Times New Roman" w:hAnsi="Times New Roman" w:cs="Times New Roman"/>
          <w:sz w:val="24"/>
          <w:szCs w:val="24"/>
        </w:rPr>
      </w:pPr>
      <w:r>
        <w:rPr>
          <w:rFonts w:ascii="Times New Roman" w:hAnsi="Times New Roman" w:cs="Times New Roman"/>
          <w:sz w:val="24"/>
          <w:szCs w:val="24"/>
        </w:rPr>
        <w:t>6. Department of Mechanical and Industrial Engineering, Louisiana State University, Baton Rouge, LA, USA</w:t>
      </w:r>
    </w:p>
    <w:p w:rsidR="007B3DA4" w:rsidRDefault="007B3DA4" w:rsidP="007B3DA4">
      <w:pPr>
        <w:spacing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These author contributed equally.</w:t>
      </w:r>
    </w:p>
    <w:p w:rsidR="007B3DA4" w:rsidRDefault="007B3DA4" w:rsidP="007B3DA4">
      <w:pPr>
        <w:spacing w:line="48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bCs/>
          <w:sz w:val="24"/>
          <w:szCs w:val="24"/>
        </w:rPr>
        <w:t xml:space="preserve"> </w:t>
      </w:r>
      <w:r>
        <w:rPr>
          <w:rFonts w:ascii="Times New Roman" w:hAnsi="Times New Roman" w:cs="Times New Roman"/>
          <w:sz w:val="24"/>
          <w:szCs w:val="24"/>
        </w:rPr>
        <w:t>oxygen vacancy; Ti doping; Localized electric field; Zn ion battery</w:t>
      </w:r>
    </w:p>
    <w:p w:rsidR="007B3DA4" w:rsidRDefault="007B3DA4" w:rsidP="007B3DA4">
      <w:pPr>
        <w:rPr>
          <w:rFonts w:ascii="Times New Roman" w:hAnsi="Times New Roman"/>
          <w:b/>
          <w:szCs w:val="24"/>
        </w:rPr>
      </w:pPr>
      <w:r>
        <w:rPr>
          <w:rFonts w:ascii="Times New Roman" w:hAnsi="Times New Roman" w:cs="Times New Roman"/>
          <w:sz w:val="24"/>
          <w:szCs w:val="24"/>
        </w:rPr>
        <w:br w:type="page"/>
      </w:r>
      <w:r>
        <w:rPr>
          <w:rFonts w:ascii="Times New Roman" w:hAnsi="Times New Roman"/>
          <w:b/>
          <w:szCs w:val="24"/>
        </w:rPr>
        <w:lastRenderedPageBreak/>
        <w:t>Experimental Details</w:t>
      </w:r>
    </w:p>
    <w:p w:rsidR="007B3DA4" w:rsidRDefault="007B3DA4" w:rsidP="007B3DA4">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Synthesis of Ti-MnO</w:t>
      </w:r>
      <w:r>
        <w:rPr>
          <w:rFonts w:ascii="Times New Roman" w:hAnsi="Times New Roman" w:cs="Times New Roman"/>
          <w:b/>
          <w:sz w:val="24"/>
          <w:szCs w:val="24"/>
          <w:vertAlign w:val="subscript"/>
        </w:rPr>
        <w:t>2</w:t>
      </w:r>
      <w:r>
        <w:rPr>
          <w:rFonts w:ascii="Times New Roman" w:hAnsi="Times New Roman" w:cs="Times New Roman"/>
          <w:b/>
          <w:sz w:val="24"/>
          <w:szCs w:val="24"/>
        </w:rPr>
        <w:t xml:space="preserve"> NWs: </w:t>
      </w:r>
      <w:r>
        <w:rPr>
          <w:rFonts w:ascii="Times New Roman" w:hAnsi="Times New Roman" w:cs="Times New Roman"/>
          <w:sz w:val="24"/>
          <w:szCs w:val="24"/>
        </w:rPr>
        <w:t>The MnO</w:t>
      </w:r>
      <w:r>
        <w:rPr>
          <w:rFonts w:ascii="Times New Roman" w:hAnsi="Times New Roman" w:cs="Times New Roman"/>
          <w:sz w:val="24"/>
          <w:szCs w:val="24"/>
          <w:vertAlign w:val="subscript"/>
        </w:rPr>
        <w:t>2</w:t>
      </w:r>
      <w:r>
        <w:rPr>
          <w:rFonts w:ascii="Times New Roman" w:hAnsi="Times New Roman" w:cs="Times New Roman"/>
          <w:sz w:val="24"/>
          <w:szCs w:val="24"/>
        </w:rPr>
        <w:t xml:space="preserve"> NW was prepared </w:t>
      </w:r>
      <w:r>
        <w:rPr>
          <w:rFonts w:ascii="Times New Roman" w:hAnsi="Times New Roman" w:cs="Times New Roman"/>
          <w:i/>
          <w:sz w:val="24"/>
          <w:szCs w:val="24"/>
        </w:rPr>
        <w:t>via</w:t>
      </w:r>
      <w:r>
        <w:rPr>
          <w:rFonts w:ascii="Times New Roman" w:hAnsi="Times New Roman" w:cs="Times New Roman"/>
          <w:sz w:val="24"/>
          <w:szCs w:val="24"/>
        </w:rPr>
        <w:t xml:space="preserve"> a hydrothermal method following a previous report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&lt;EndNote&gt;&lt;Cite&gt;&lt;Author&gt;Zhao&lt;/Author&gt;&lt;Year&gt;2018&lt;/Year&gt;&lt;RecNum&gt;306&lt;/RecNum&gt;&lt;DisplayText&gt;&lt;style face="superscript"&gt;[53]&lt;/style&gt;&lt;/DisplayText&gt;&lt;record&gt;&lt;rec-number&gt;306&lt;/rec-number&gt;&lt;foreign-keys&gt;&lt;key app="EN" db-id="9sfevdzxx22d95e2xfjvpx04f5szzfxftre9"&gt;306&lt;/key&gt;&lt;/foreign-keys&gt;&lt;ref-type name="Journal Article"&gt;17&lt;/ref-type&gt;&lt;contributors&gt;&lt;authors&gt;&lt;author&gt;Zhao, Kangning &lt;/author&gt;&lt;author&gt;&lt;style face="normal" font="default" size="100%"&gt;Sun&lt;/style&gt;&lt;style face="normal" font="default" charset="134" size="100%"&gt;, &lt;/style&gt;&lt;style face="normal" font="default" size="100%"&gt;Congli&lt;/style&gt;&lt;/author&gt;&lt;author&gt;Yu, Yanhao&lt;/author&gt;&lt;author&gt;Dong, Yifan&lt;/author&gt;&lt;author&gt;Zhang, Chenyu &lt;/author&gt;&lt;author&gt;Wang, Chongmin&lt;/author&gt;&lt;author&gt;Voyles, Paul M.&lt;/author&gt;&lt;author&gt;Mai, Liqiang&lt;/author&gt;&lt;author&gt;Wang, Xudong&lt;/author&gt;&lt;/authors&gt;&lt;/contributors&gt;&lt;titles&gt;&lt;title&gt;&lt;style face="normal" font="default" size="100%"&gt;Surface Gradient Ti-Doped MnO&lt;/style&gt;&lt;style face="subscript" font="default" size="100%"&gt;2&lt;/style&gt;&lt;style face="normal" font="default" size="100%"&gt; Nanowires for High-Rate and Long-Life Lithium Battery&lt;/style&gt;&lt;/title&gt;&lt;secondary-title&gt;ACS Appl. Mater. Interfaces&lt;/secondary-title&gt;&lt;/titles&gt;&lt;periodical&gt;&lt;full-title&gt;ACS Appl. Mater. Interfaces&lt;/full-title&gt;&lt;/periodical&gt;&lt;pages&gt;&lt;style face="normal" font="default" size="100%"&gt;44376&lt;/style&gt;&lt;style face="normal" font="default" charset="134" size="100%"&gt;–44384&lt;/style&gt;&lt;/pages&gt;&lt;volume&gt;10&lt;/volume&gt;&lt;dates&gt;&lt;year&gt;2018&lt;/year&gt;&lt;/dates&gt;&lt;urls&gt;&lt;/urls&gt;&lt;/record&gt;&lt;/Cite&gt;&lt;/EndNote&gt;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w:t>
      </w:r>
      <w:hyperlink r:id="rId6" w:anchor="_ENREF_53" w:tooltip="Zhao, 2018 #306" w:history="1">
        <w:r>
          <w:rPr>
            <w:rStyle w:val="Hyperlink"/>
            <w:rFonts w:ascii="Times New Roman" w:hAnsi="Times New Roman" w:cs="Times New Roman"/>
            <w:noProof/>
            <w:color w:val="auto"/>
            <w:sz w:val="24"/>
            <w:szCs w:val="24"/>
            <w:u w:val="none"/>
            <w:vertAlign w:val="superscript"/>
          </w:rPr>
          <w:t>53</w:t>
        </w:r>
      </w:hyperlink>
      <w:r>
        <w:rPr>
          <w:rFonts w:ascii="Times New Roman" w:hAnsi="Times New Roman" w:cs="Times New Roman"/>
          <w:noProof/>
          <w:sz w:val="24"/>
          <w:szCs w:val="24"/>
          <w:vertAlign w:val="superscript"/>
        </w:rPr>
        <w:t>]</w:t>
      </w:r>
      <w:r>
        <w:rPr>
          <w:rFonts w:ascii="Times New Roman" w:hAnsi="Times New Roman" w:cs="Times New Roman"/>
          <w:sz w:val="24"/>
          <w:szCs w:val="24"/>
        </w:rPr>
        <w:fldChar w:fldCharType="end"/>
      </w:r>
      <w:r>
        <w:rPr>
          <w:rFonts w:ascii="Times New Roman" w:hAnsi="Times New Roman" w:cs="Times New Roman"/>
          <w:sz w:val="24"/>
          <w:szCs w:val="24"/>
        </w:rPr>
        <w:t>. Amorphous TiO</w:t>
      </w:r>
      <w:r>
        <w:rPr>
          <w:rFonts w:ascii="Times New Roman" w:hAnsi="Times New Roman" w:cs="Times New Roman"/>
          <w:sz w:val="24"/>
          <w:szCs w:val="24"/>
          <w:vertAlign w:val="subscript"/>
        </w:rPr>
        <w:t>2</w:t>
      </w:r>
      <w:r>
        <w:rPr>
          <w:rFonts w:ascii="Times New Roman" w:hAnsi="Times New Roman" w:cs="Times New Roman"/>
          <w:sz w:val="24"/>
          <w:szCs w:val="24"/>
        </w:rPr>
        <w:t xml:space="preserve"> coating was synthesized in a home-made atomic layer deposition system following reported procedures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&lt;EndNote&gt;&lt;Cite&gt;&lt;Author&gt;Yu&lt;/Author&gt;&lt;Year&gt;2017&lt;/Year&gt;&lt;RecNum&gt;56&lt;/RecNum&gt;&lt;DisplayText&gt;&lt;style face="superscript"&gt;[54]&lt;/style&gt;&lt;/DisplayText&gt;&lt;record&gt;&lt;rec-number&gt;56&lt;/rec-number&gt;&lt;foreign-keys&gt;&lt;key app="EN" db-id="tsppx9vzgazet6e0t0mvazz2v9zf2wv0wd5a"&gt;56&lt;/key&gt;&lt;/foreign-keys&gt;&lt;ref-type name="Journal Article"&gt;17&lt;/ref-type&gt;&lt;contributors&gt;&lt;authors&gt;&lt;author&gt;Yu, Yanhao&lt;/author&gt;&lt;author&gt;Zhang, Zheng&lt;/author&gt;&lt;author&gt;Yin, Xin&lt;/author&gt;&lt;author&gt;Kvit, Alexander&lt;/author&gt;&lt;author&gt;Liao, Qingliang&lt;/author&gt;&lt;author&gt;Kang, Zhuo&lt;/author&gt;&lt;author&gt;Yan, Xiaoqin&lt;/author&gt;&lt;author&gt;Zhang, Yue&lt;/author&gt;&lt;author&gt;Wang, Xudong&lt;/author&gt;&lt;/authors&gt;&lt;/contributors&gt;&lt;titles&gt;&lt;title&gt;&lt;style face="normal" font="default" size="100%"&gt;Enhanced photoelectrochemical efficiency and stability using a conformal TiO&lt;/style&gt;&lt;style face="subscript" font="default" size="100%"&gt;2&lt;/style&gt;&lt;style face="normal" font="default" size="100%"&gt; film on a black silicon photoanode&lt;/style&gt;&lt;/title&gt;&lt;secondary-title&gt;Nature Energy&lt;/secondary-title&gt;&lt;/titles&gt;&lt;periodical&gt;&lt;full-title&gt;Nature Energy&lt;/full-title&gt;&lt;/periodical&gt;&lt;pages&gt;17045&lt;/pages&gt;&lt;volume&gt;2&lt;/volume&gt;&lt;number&gt;6&lt;/number&gt;&lt;dates&gt;&lt;year&gt;2017&lt;/year&gt;&lt;/dates&gt;&lt;isbn&gt;2058-7546&lt;/isbn&gt;&lt;urls&gt;&lt;/urls&gt;&lt;electronic-resource-num&gt;10.1038/nenergy.2017.45&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vertAlign w:val="superscript"/>
        </w:rPr>
        <w:t>[</w:t>
      </w:r>
      <w:hyperlink r:id="rId7" w:anchor="_ENREF_54" w:tooltip="Yu, 2017 #56" w:history="1">
        <w:r>
          <w:rPr>
            <w:rStyle w:val="Hyperlink"/>
            <w:rFonts w:ascii="Times New Roman" w:hAnsi="Times New Roman" w:cs="Times New Roman"/>
            <w:noProof/>
            <w:color w:val="auto"/>
            <w:sz w:val="24"/>
            <w:szCs w:val="24"/>
            <w:u w:val="none"/>
            <w:vertAlign w:val="superscript"/>
          </w:rPr>
          <w:t>54</w:t>
        </w:r>
      </w:hyperlink>
      <w:r>
        <w:rPr>
          <w:rFonts w:ascii="Times New Roman" w:hAnsi="Times New Roman" w:cs="Times New Roman"/>
          <w:noProof/>
          <w:sz w:val="24"/>
          <w:szCs w:val="24"/>
          <w:vertAlign w:val="superscript"/>
        </w:rPr>
        <w:t>]</w:t>
      </w:r>
      <w:r>
        <w:rPr>
          <w:rFonts w:ascii="Times New Roman" w:hAnsi="Times New Roman" w:cs="Times New Roman"/>
          <w:sz w:val="24"/>
          <w:szCs w:val="24"/>
        </w:rPr>
        <w:fldChar w:fldCharType="end"/>
      </w:r>
      <w:r>
        <w:rPr>
          <w:rFonts w:ascii="Times New Roman" w:hAnsi="Times New Roman" w:cs="Times New Roman"/>
          <w:sz w:val="24"/>
          <w:szCs w:val="24"/>
        </w:rPr>
        <w:t>. Briefly, TiCl</w:t>
      </w:r>
      <w:r>
        <w:rPr>
          <w:rFonts w:ascii="Times New Roman" w:hAnsi="Times New Roman" w:cs="Times New Roman"/>
          <w:sz w:val="24"/>
          <w:szCs w:val="24"/>
          <w:vertAlign w:val="subscript"/>
        </w:rPr>
        <w:t>4</w:t>
      </w:r>
      <w:r>
        <w:rPr>
          <w:rFonts w:ascii="Times New Roman" w:hAnsi="Times New Roman" w:cs="Times New Roman"/>
          <w:sz w:val="24"/>
          <w:szCs w:val="24"/>
        </w:rPr>
        <w:t xml:space="preserve"> and H</w:t>
      </w:r>
      <w:r>
        <w:rPr>
          <w:rFonts w:ascii="Times New Roman" w:hAnsi="Times New Roman" w:cs="Times New Roman"/>
          <w:sz w:val="24"/>
          <w:szCs w:val="24"/>
          <w:vertAlign w:val="subscript"/>
        </w:rPr>
        <w:t>2</w:t>
      </w:r>
      <w:r>
        <w:rPr>
          <w:rFonts w:ascii="Times New Roman" w:hAnsi="Times New Roman" w:cs="Times New Roman"/>
          <w:sz w:val="24"/>
          <w:szCs w:val="24"/>
        </w:rPr>
        <w:t>O vapors were pulsed into a 120 °C reaction chamber separately with a pulsing time of 0.5 s, separated by 60 s N</w:t>
      </w:r>
      <w:r>
        <w:rPr>
          <w:rFonts w:ascii="Times New Roman" w:hAnsi="Times New Roman" w:cs="Times New Roman"/>
          <w:sz w:val="24"/>
          <w:szCs w:val="24"/>
          <w:vertAlign w:val="subscript"/>
        </w:rPr>
        <w:t>2</w:t>
      </w:r>
      <w:r>
        <w:rPr>
          <w:rFonts w:ascii="Times New Roman" w:hAnsi="Times New Roman" w:cs="Times New Roman"/>
          <w:sz w:val="24"/>
          <w:szCs w:val="24"/>
        </w:rPr>
        <w:t xml:space="preserve"> purging. One deposition cycle involves 0.5 s of H</w:t>
      </w:r>
      <w:r>
        <w:rPr>
          <w:rFonts w:ascii="Times New Roman" w:hAnsi="Times New Roman" w:cs="Times New Roman"/>
          <w:sz w:val="24"/>
          <w:szCs w:val="24"/>
          <w:vertAlign w:val="subscript"/>
        </w:rPr>
        <w:t>2</w:t>
      </w:r>
      <w:r>
        <w:rPr>
          <w:rFonts w:ascii="Times New Roman" w:hAnsi="Times New Roman" w:cs="Times New Roman"/>
          <w:sz w:val="24"/>
          <w:szCs w:val="24"/>
        </w:rPr>
        <w:t>O pulse + 60 s of N</w:t>
      </w:r>
      <w:r>
        <w:rPr>
          <w:rFonts w:ascii="Times New Roman" w:hAnsi="Times New Roman" w:cs="Times New Roman"/>
          <w:sz w:val="24"/>
          <w:szCs w:val="24"/>
          <w:vertAlign w:val="subscript"/>
        </w:rPr>
        <w:t>2</w:t>
      </w:r>
      <w:r>
        <w:rPr>
          <w:rFonts w:ascii="Times New Roman" w:hAnsi="Times New Roman" w:cs="Times New Roman"/>
          <w:sz w:val="24"/>
          <w:szCs w:val="24"/>
        </w:rPr>
        <w:t xml:space="preserve"> purging + 0.5 s of TiCl</w:t>
      </w:r>
      <w:r>
        <w:rPr>
          <w:rFonts w:ascii="Times New Roman" w:hAnsi="Times New Roman" w:cs="Times New Roman"/>
          <w:sz w:val="24"/>
          <w:szCs w:val="24"/>
          <w:vertAlign w:val="subscript"/>
        </w:rPr>
        <w:t>4</w:t>
      </w:r>
      <w:r>
        <w:rPr>
          <w:rFonts w:ascii="Times New Roman" w:hAnsi="Times New Roman" w:cs="Times New Roman"/>
          <w:sz w:val="24"/>
          <w:szCs w:val="24"/>
        </w:rPr>
        <w:t xml:space="preserve"> pulse + 60 s of N</w:t>
      </w:r>
      <w:r>
        <w:rPr>
          <w:rFonts w:ascii="Times New Roman" w:hAnsi="Times New Roman" w:cs="Times New Roman"/>
          <w:sz w:val="24"/>
          <w:szCs w:val="24"/>
          <w:vertAlign w:val="subscript"/>
        </w:rPr>
        <w:t>2</w:t>
      </w:r>
      <w:r>
        <w:rPr>
          <w:rFonts w:ascii="Times New Roman" w:hAnsi="Times New Roman" w:cs="Times New Roman"/>
          <w:sz w:val="24"/>
          <w:szCs w:val="24"/>
        </w:rPr>
        <w:t xml:space="preserve"> purging. A 5-nm-thick TiO</w:t>
      </w:r>
      <w:r>
        <w:rPr>
          <w:rFonts w:ascii="Times New Roman" w:hAnsi="Times New Roman" w:cs="Times New Roman"/>
          <w:sz w:val="24"/>
          <w:szCs w:val="24"/>
          <w:vertAlign w:val="subscript"/>
        </w:rPr>
        <w:t>2</w:t>
      </w:r>
      <w:r>
        <w:rPr>
          <w:rFonts w:ascii="Times New Roman" w:hAnsi="Times New Roman" w:cs="Times New Roman"/>
          <w:sz w:val="24"/>
          <w:szCs w:val="24"/>
        </w:rPr>
        <w:t xml:space="preserve"> coating was deposited by 100 ALD cycles. The</w:t>
      </w:r>
      <w:r>
        <w:rPr>
          <w:rFonts w:ascii="Times New Roman" w:hAnsi="Times New Roman" w:cs="Times New Roman"/>
          <w:b/>
          <w:sz w:val="24"/>
          <w:szCs w:val="24"/>
        </w:rPr>
        <w:t xml:space="preserve"> </w:t>
      </w:r>
      <w:r>
        <w:rPr>
          <w:rFonts w:ascii="Times New Roman" w:hAnsi="Times New Roman" w:cs="Times New Roman"/>
          <w:sz w:val="24"/>
          <w:szCs w:val="24"/>
        </w:rPr>
        <w:t>Ti-MnO</w:t>
      </w:r>
      <w:r>
        <w:rPr>
          <w:rFonts w:ascii="Times New Roman" w:hAnsi="Times New Roman" w:cs="Times New Roman"/>
          <w:sz w:val="24"/>
          <w:szCs w:val="24"/>
          <w:vertAlign w:val="subscript"/>
        </w:rPr>
        <w:t>2</w:t>
      </w:r>
      <w:r>
        <w:rPr>
          <w:rFonts w:ascii="Times New Roman" w:hAnsi="Times New Roman" w:cs="Times New Roman"/>
          <w:sz w:val="24"/>
          <w:szCs w:val="24"/>
        </w:rPr>
        <w:t xml:space="preserve"> NWs were obtained by annealing the core-shell MnO</w:t>
      </w:r>
      <w:r>
        <w:rPr>
          <w:rFonts w:ascii="Times New Roman" w:hAnsi="Times New Roman" w:cs="Times New Roman"/>
          <w:sz w:val="24"/>
          <w:szCs w:val="24"/>
          <w:vertAlign w:val="subscript"/>
        </w:rPr>
        <w:t>2</w:t>
      </w:r>
      <w:r>
        <w:rPr>
          <w:rFonts w:ascii="Times New Roman" w:hAnsi="Times New Roman" w:cs="Times New Roman"/>
          <w:sz w:val="24"/>
          <w:szCs w:val="24"/>
        </w:rPr>
        <w:t>@TiO</w:t>
      </w:r>
      <w:r>
        <w:rPr>
          <w:rFonts w:ascii="Times New Roman" w:hAnsi="Times New Roman" w:cs="Times New Roman"/>
          <w:sz w:val="24"/>
          <w:szCs w:val="24"/>
          <w:vertAlign w:val="subscript"/>
        </w:rPr>
        <w:t>2</w:t>
      </w:r>
      <w:r>
        <w:rPr>
          <w:rFonts w:ascii="Times New Roman" w:hAnsi="Times New Roman" w:cs="Times New Roman"/>
          <w:sz w:val="24"/>
          <w:szCs w:val="24"/>
        </w:rPr>
        <w:t xml:space="preserve"> NWs at 450 °C in air for 4 h.</w:t>
      </w:r>
    </w:p>
    <w:p w:rsidR="007B3DA4" w:rsidRDefault="007B3DA4" w:rsidP="007B3DA4">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Structural Characterization</w:t>
      </w:r>
      <w:r>
        <w:rPr>
          <w:rFonts w:ascii="Times New Roman" w:hAnsi="Times New Roman" w:cs="Times New Roman"/>
          <w:sz w:val="24"/>
          <w:szCs w:val="24"/>
        </w:rPr>
        <w:t xml:space="preserve">: XRD were performed in a Bruker D8 Advance X-ray diffractometer with an area detector, using Cu Kα radiation (λ = 1.5418 Å). SEM and TEM images were recorded from a JEOL-7100F field-emission SEM (FESEM), and a FEI TF30 TEM.  STEM and EELS characterizations were performed in a FEI Titan microscope with a CEOS probe aberration-corrector operated at 200 keV. The probe semi-angle is 24.5 mrad and the probe current was ~25 pA. HAADF STEM imaging was collected by a Fischione Model 3000 detector spanning 84 to 160 mrad in scattering angles. In these conditions the estimated probe size was less than 1 Å. EEL spectrum image were recorded with a GIF 865 spectrometer, with an energy dispersion of 0.5 eV / pixel, which allowed for the simultaneous visualization of the O K, Ti L, and Mn L EELS edges. The energy resolution was 0.9 eV measured from the full width at half maximum of zero-loss peak. Quantifications were calculated using the Digital Micrograph implementation of the standard quantification method. </w:t>
      </w:r>
    </w:p>
    <w:p w:rsidR="007B3DA4" w:rsidRDefault="007B3DA4" w:rsidP="007B3DA4">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Electrochemical Characterization</w:t>
      </w:r>
      <w:r>
        <w:rPr>
          <w:rFonts w:ascii="Times New Roman" w:hAnsi="Times New Roman" w:cs="Times New Roman"/>
          <w:sz w:val="24"/>
          <w:szCs w:val="24"/>
        </w:rPr>
        <w:t xml:space="preserve">. The battery electrodes were fabricated by grounding 70% active material, 20% acetylene black and 10% poly(tetrauoroethylene) (PTFE) </w:t>
      </w:r>
      <w:r>
        <w:rPr>
          <w:rFonts w:ascii="Times New Roman" w:hAnsi="Times New Roman" w:cs="Times New Roman"/>
          <w:sz w:val="24"/>
          <w:szCs w:val="24"/>
        </w:rPr>
        <w:lastRenderedPageBreak/>
        <w:t>together and then compressed into pellets. The mass loading of the electrode is ~3 mg cm</w:t>
      </w:r>
      <w:r>
        <w:rPr>
          <w:rFonts w:ascii="Times New Roman" w:hAnsi="Times New Roman" w:cs="Times New Roman"/>
          <w:sz w:val="24"/>
          <w:szCs w:val="24"/>
          <w:vertAlign w:val="superscript"/>
        </w:rPr>
        <w:t>-2</w:t>
      </w:r>
      <w:r>
        <w:rPr>
          <w:rFonts w:ascii="Times New Roman" w:hAnsi="Times New Roman" w:cs="Times New Roman"/>
          <w:sz w:val="24"/>
          <w:szCs w:val="24"/>
        </w:rPr>
        <w:t>.  The testing batteries were assembled into 2016 coin cells, using zinc plate as the anode. A mixture of 3 M Zn(CF</w:t>
      </w:r>
      <w:r>
        <w:rPr>
          <w:rFonts w:ascii="Times New Roman" w:hAnsi="Times New Roman" w:cs="Times New Roman"/>
          <w:sz w:val="24"/>
          <w:szCs w:val="24"/>
          <w:vertAlign w:val="subscript"/>
        </w:rPr>
        <w:t>3</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0.1M Mn(CF</w:t>
      </w:r>
      <w:r>
        <w:rPr>
          <w:rFonts w:ascii="Times New Roman" w:hAnsi="Times New Roman" w:cs="Times New Roman"/>
          <w:sz w:val="24"/>
          <w:szCs w:val="24"/>
          <w:vertAlign w:val="subscript"/>
        </w:rPr>
        <w:t>3</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 xml:space="preserve"> solution was used as the electrolyte. The presence of Mn(CF</w:t>
      </w:r>
      <w:r>
        <w:rPr>
          <w:rFonts w:ascii="Times New Roman" w:hAnsi="Times New Roman" w:cs="Times New Roman"/>
          <w:sz w:val="24"/>
          <w:szCs w:val="24"/>
          <w:vertAlign w:val="subscript"/>
        </w:rPr>
        <w:t>3</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 xml:space="preserve">2 </w:t>
      </w:r>
      <w:r>
        <w:rPr>
          <w:rFonts w:ascii="Times New Roman" w:hAnsi="Times New Roman" w:cs="Times New Roman"/>
          <w:sz w:val="24"/>
          <w:szCs w:val="24"/>
        </w:rPr>
        <w:t>in the electrolyte could compensate the dissolution equilibrium of Mn</w:t>
      </w:r>
      <w:r>
        <w:rPr>
          <w:rFonts w:ascii="Times New Roman" w:hAnsi="Times New Roman" w:cs="Times New Roman"/>
          <w:sz w:val="24"/>
          <w:szCs w:val="24"/>
          <w:vertAlign w:val="superscript"/>
        </w:rPr>
        <w:t>2+</w:t>
      </w:r>
      <w:r>
        <w:rPr>
          <w:rFonts w:ascii="Times New Roman" w:hAnsi="Times New Roman" w:cs="Times New Roman"/>
          <w:sz w:val="24"/>
          <w:szCs w:val="24"/>
        </w:rPr>
        <w:t xml:space="preserve"> from the MnO</w:t>
      </w:r>
      <w:r>
        <w:rPr>
          <w:rFonts w:ascii="Times New Roman" w:hAnsi="Times New Roman" w:cs="Times New Roman"/>
          <w:sz w:val="24"/>
          <w:szCs w:val="24"/>
          <w:vertAlign w:val="subscript"/>
        </w:rPr>
        <w:t>2</w:t>
      </w:r>
      <w:r>
        <w:rPr>
          <w:rFonts w:ascii="Times New Roman" w:hAnsi="Times New Roman" w:cs="Times New Roman"/>
          <w:sz w:val="24"/>
          <w:szCs w:val="24"/>
        </w:rPr>
        <w:t xml:space="preserve"> electrode and stabilize the electrode. The presence of Mn(CF</w:t>
      </w:r>
      <w:r>
        <w:rPr>
          <w:rFonts w:ascii="Times New Roman" w:hAnsi="Times New Roman" w:cs="Times New Roman"/>
          <w:sz w:val="24"/>
          <w:szCs w:val="24"/>
          <w:vertAlign w:val="subscript"/>
        </w:rPr>
        <w:t>3</w:t>
      </w:r>
      <w:r>
        <w:rPr>
          <w:rFonts w:ascii="Times New Roman" w:hAnsi="Times New Roman" w:cs="Times New Roman"/>
          <w:sz w:val="24"/>
          <w:szCs w:val="24"/>
        </w:rPr>
        <w:t>SO</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 xml:space="preserve">2 </w:t>
      </w:r>
      <w:r>
        <w:rPr>
          <w:rFonts w:ascii="Times New Roman" w:hAnsi="Times New Roman" w:cs="Times New Roman"/>
          <w:sz w:val="24"/>
          <w:szCs w:val="24"/>
        </w:rPr>
        <w:t>in the electrolyte could compensate the dissolution equilibrium of Mn</w:t>
      </w:r>
      <w:r>
        <w:rPr>
          <w:rFonts w:ascii="Times New Roman" w:hAnsi="Times New Roman" w:cs="Times New Roman"/>
          <w:sz w:val="24"/>
          <w:szCs w:val="24"/>
          <w:vertAlign w:val="superscript"/>
        </w:rPr>
        <w:t>2+</w:t>
      </w:r>
      <w:r>
        <w:rPr>
          <w:rFonts w:ascii="Times New Roman" w:hAnsi="Times New Roman" w:cs="Times New Roman"/>
          <w:sz w:val="24"/>
          <w:szCs w:val="24"/>
        </w:rPr>
        <w:t xml:space="preserve"> from the MnO</w:t>
      </w:r>
      <w:r>
        <w:rPr>
          <w:rFonts w:ascii="Times New Roman" w:hAnsi="Times New Roman" w:cs="Times New Roman"/>
          <w:sz w:val="24"/>
          <w:szCs w:val="24"/>
          <w:vertAlign w:val="subscript"/>
        </w:rPr>
        <w:t>2</w:t>
      </w:r>
      <w:r>
        <w:rPr>
          <w:rFonts w:ascii="Times New Roman" w:hAnsi="Times New Roman" w:cs="Times New Roman"/>
          <w:sz w:val="24"/>
          <w:szCs w:val="24"/>
        </w:rPr>
        <w:t xml:space="preserve"> electrode and stabilize the electrode. Galvanostatic discharge was studied in a potential range of 0.8-1.8 V vs. Zn/Zn</w:t>
      </w:r>
      <w:r>
        <w:rPr>
          <w:rFonts w:ascii="Times New Roman" w:hAnsi="Times New Roman" w:cs="Times New Roman"/>
          <w:sz w:val="24"/>
          <w:szCs w:val="24"/>
          <w:vertAlign w:val="superscript"/>
        </w:rPr>
        <w:t>2+</w:t>
      </w:r>
      <w:r>
        <w:rPr>
          <w:rFonts w:ascii="Times New Roman" w:hAnsi="Times New Roman" w:cs="Times New Roman"/>
          <w:sz w:val="24"/>
          <w:szCs w:val="24"/>
        </w:rPr>
        <w:t xml:space="preserve"> with a multichannel battery testing system (LAND CT 2001A). The gravimetric specific capacity was calculated based on the mass of active materials. EIS was tested using an Autolab Potentiostat Galvanostat (PGSTAT302N) within the frequency range from 0.1 to 10000 Hz at 0.01 V. </w:t>
      </w:r>
    </w:p>
    <w:p w:rsidR="007B3DA4" w:rsidRDefault="007B3DA4" w:rsidP="007B3DA4">
      <w:pPr>
        <w:spacing w:line="480" w:lineRule="auto"/>
        <w:jc w:val="both"/>
        <w:rPr>
          <w:rFonts w:ascii="Times New Roman" w:hAnsi="Times New Roman" w:cs="Times New Roman"/>
          <w:sz w:val="24"/>
          <w:szCs w:val="24"/>
        </w:rPr>
      </w:pPr>
      <w:r>
        <w:rPr>
          <w:rFonts w:ascii="Times New Roman" w:hAnsi="Times New Roman" w:cs="Times New Roman"/>
          <w:b/>
          <w:sz w:val="24"/>
          <w:szCs w:val="24"/>
        </w:rPr>
        <w:t>Calculation Details</w:t>
      </w:r>
      <w:r>
        <w:rPr>
          <w:rFonts w:ascii="Times New Roman" w:hAnsi="Times New Roman" w:cs="Times New Roman"/>
          <w:sz w:val="24"/>
          <w:szCs w:val="24"/>
        </w:rPr>
        <w:t>. All density functional theory (DFT)</w:t>
      </w:r>
      <w:r>
        <w:rPr>
          <w:rFonts w:ascii="Times New Roman" w:hAnsi="Times New Roman" w:cs="Times New Roman"/>
          <w:sz w:val="24"/>
          <w:szCs w:val="24"/>
          <w:vertAlign w:val="superscript"/>
        </w:rPr>
        <w:t>[1,2]</w:t>
      </w:r>
      <w:r>
        <w:rPr>
          <w:rFonts w:ascii="Times New Roman" w:hAnsi="Times New Roman" w:cs="Times New Roman"/>
          <w:sz w:val="24"/>
          <w:szCs w:val="24"/>
        </w:rPr>
        <w:t xml:space="preserve"> calculations were operated at the Vienna ab-initio simulation package (VASP5.4)</w:t>
      </w:r>
      <w:r>
        <w:rPr>
          <w:rFonts w:ascii="Times New Roman" w:hAnsi="Times New Roman" w:cs="Times New Roman"/>
          <w:sz w:val="24"/>
          <w:szCs w:val="24"/>
          <w:vertAlign w:val="superscript"/>
        </w:rPr>
        <w:t>[3]</w:t>
      </w:r>
      <w:r>
        <w:rPr>
          <w:rFonts w:ascii="Times New Roman" w:hAnsi="Times New Roman" w:cs="Times New Roman"/>
          <w:sz w:val="24"/>
          <w:szCs w:val="24"/>
        </w:rPr>
        <w:t>, using the projector augmented wave (PAW) method, and the generalized gradient approximation (GGA) with the Perdew-Burke-Ernzerhof (PBE)</w:t>
      </w:r>
      <w:r>
        <w:rPr>
          <w:rFonts w:ascii="Times New Roman" w:hAnsi="Times New Roman" w:cs="Times New Roman"/>
          <w:sz w:val="24"/>
          <w:szCs w:val="24"/>
          <w:vertAlign w:val="superscript"/>
        </w:rPr>
        <w:t>[4]</w:t>
      </w:r>
      <w:r>
        <w:rPr>
          <w:rFonts w:ascii="Times New Roman" w:hAnsi="Times New Roman" w:cs="Times New Roman"/>
          <w:sz w:val="24"/>
          <w:szCs w:val="24"/>
        </w:rPr>
        <w:t xml:space="preserve"> functional was applied for the exchange-correlation functional. The studied models with defects (Ti doped and oxygen vacancies) consist of a 1 × 1 × 3 unit cell. A plane-wave basis set with a cutoff energy of 500 eV was employed </w:t>
      </w:r>
      <w:r>
        <w:rPr>
          <w:rFonts w:ascii="Times New Roman" w:hAnsi="Times New Roman" w:cs="Times New Roman"/>
          <w:sz w:val="24"/>
          <w:szCs w:val="24"/>
          <w:vertAlign w:val="superscript"/>
        </w:rPr>
        <w:t>[5]</w:t>
      </w:r>
      <w:r>
        <w:rPr>
          <w:rFonts w:ascii="Times New Roman" w:hAnsi="Times New Roman" w:cs="Times New Roman"/>
          <w:sz w:val="24"/>
          <w:szCs w:val="24"/>
        </w:rPr>
        <w:t>, the 4 × 4 × 4 Monkhorst Pack grid samples was adopted.</w:t>
      </w:r>
      <w:r>
        <w:t xml:space="preserve"> </w:t>
      </w:r>
      <w:r>
        <w:rPr>
          <w:rFonts w:ascii="Times New Roman" w:hAnsi="Times New Roman" w:cs="Times New Roman"/>
          <w:sz w:val="24"/>
          <w:szCs w:val="24"/>
        </w:rPr>
        <w:t>The applied effective U value given to Mn ions was 4.0 eV, and to Ti ions was 3.4 eV. The energy cutoff for the plane-wave basis set was 520 eV and the force convergence criterion for the relaxation was 0.01 eV Å</w:t>
      </w:r>
      <w:r>
        <w:rPr>
          <w:rFonts w:ascii="Times New Roman" w:hAnsi="Times New Roman" w:cs="Times New Roman"/>
          <w:sz w:val="24"/>
          <w:szCs w:val="24"/>
          <w:vertAlign w:val="superscript"/>
        </w:rPr>
        <w:t>−1</w:t>
      </w:r>
      <w:r>
        <w:rPr>
          <w:rFonts w:ascii="Times New Roman" w:hAnsi="Times New Roman" w:cs="Times New Roman"/>
          <w:sz w:val="24"/>
          <w:szCs w:val="24"/>
        </w:rPr>
        <w:t>. The Monkhorst-Pack scheme k-point sampling was used, and k-mesh was denser than 0.03 Å</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The simulations of the bulk structure were performed on the 1 </w:t>
      </w:r>
      <w:r>
        <w:rPr>
          <w:rFonts w:ascii="Times New Roman" w:hAnsi="Times New Roman" w:cs="Times New Roman"/>
          <w:sz w:val="24"/>
          <w:szCs w:val="24"/>
        </w:rPr>
        <w:lastRenderedPageBreak/>
        <w:t>× 1 × 3 unit cell. To simulate Ti doping bulk structure, one of Mn ions was substituted with Ti ion.</w:t>
      </w:r>
    </w:p>
    <w:p w:rsidR="007B3DA4" w:rsidRDefault="007B3DA4" w:rsidP="007B3DA4">
      <w:pPr>
        <w:spacing w:line="480" w:lineRule="auto"/>
        <w:jc w:val="center"/>
        <w:rPr>
          <w:rFonts w:ascii="Times New Roman" w:hAnsi="Times New Roman" w:cs="Times New Roman"/>
          <w:sz w:val="24"/>
          <w:szCs w:val="24"/>
        </w:rPr>
      </w:pP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75280" cy="1341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5280" cy="1341120"/>
                    </a:xfrm>
                    <a:prstGeom prst="rect">
                      <a:avLst/>
                    </a:prstGeom>
                    <a:noFill/>
                    <a:ln>
                      <a:noFill/>
                    </a:ln>
                  </pic:spPr>
                </pic:pic>
              </a:graphicData>
            </a:graphic>
          </wp:inline>
        </w:drawing>
      </w:r>
    </w:p>
    <w:p w:rsidR="007B3DA4" w:rsidRDefault="007B3DA4" w:rsidP="007B3DA4">
      <w:pPr>
        <w:tabs>
          <w:tab w:val="center" w:pos="4320"/>
          <w:tab w:val="right" w:pos="8640"/>
        </w:tabs>
        <w:spacing w:line="480" w:lineRule="auto"/>
        <w:rPr>
          <w:rFonts w:ascii="Times New Roman" w:hAnsi="Times New Roman" w:cs="Times New Roman"/>
          <w:sz w:val="24"/>
          <w:szCs w:val="24"/>
        </w:rPr>
      </w:pPr>
      <w:r>
        <w:rPr>
          <w:rFonts w:ascii="Times New Roman" w:hAnsi="Times New Roman" w:cs="Times New Roman"/>
          <w:b/>
          <w:sz w:val="24"/>
          <w:szCs w:val="24"/>
        </w:rPr>
        <w:tab/>
        <w:t>Fig. S1.</w:t>
      </w:r>
      <w:r>
        <w:rPr>
          <w:rFonts w:ascii="Times New Roman" w:hAnsi="Times New Roman" w:cs="Times New Roman"/>
          <w:sz w:val="24"/>
          <w:szCs w:val="24"/>
        </w:rPr>
        <w:t xml:space="preserve"> Schematic illustration of the experimental process.</w:t>
      </w:r>
    </w:p>
    <w:p w:rsidR="007B3DA4" w:rsidRDefault="007B3DA4" w:rsidP="007B3DA4">
      <w:pPr>
        <w:widowControl w:val="0"/>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3596640" cy="17983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r="33205"/>
                    <a:stretch>
                      <a:fillRect/>
                    </a:stretch>
                  </pic:blipFill>
                  <pic:spPr bwMode="auto">
                    <a:xfrm>
                      <a:off x="0" y="0"/>
                      <a:ext cx="3596640" cy="1798320"/>
                    </a:xfrm>
                    <a:prstGeom prst="rect">
                      <a:avLst/>
                    </a:prstGeom>
                    <a:noFill/>
                    <a:ln>
                      <a:noFill/>
                    </a:ln>
                  </pic:spPr>
                </pic:pic>
              </a:graphicData>
            </a:graphic>
          </wp:inline>
        </w:drawing>
      </w:r>
    </w:p>
    <w:p w:rsidR="007B3DA4" w:rsidRDefault="007B3DA4" w:rsidP="007B3DA4">
      <w:pPr>
        <w:widowControl w:val="0"/>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b/>
          <w:sz w:val="24"/>
          <w:szCs w:val="24"/>
        </w:rPr>
        <w:t xml:space="preserve">Fig. S2. </w:t>
      </w:r>
      <w:r>
        <w:rPr>
          <w:rFonts w:ascii="Times New Roman" w:eastAsia="宋体" w:hAnsi="Times New Roman" w:cs="Times New Roman"/>
          <w:sz w:val="24"/>
          <w:szCs w:val="24"/>
        </w:rPr>
        <w:t>TEM images of as-prepared TiO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@MnO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 xml:space="preserve"> core-shell NWs. Insets of </w:t>
      </w:r>
      <w:r>
        <w:rPr>
          <w:rFonts w:ascii="Times New Roman" w:eastAsia="宋体" w:hAnsi="Times New Roman" w:cs="Times New Roman"/>
          <w:b/>
          <w:sz w:val="24"/>
          <w:szCs w:val="24"/>
        </w:rPr>
        <w:t>a, and b</w:t>
      </w:r>
      <w:r>
        <w:rPr>
          <w:rFonts w:ascii="Times New Roman" w:eastAsia="宋体" w:hAnsi="Times New Roman" w:cs="Times New Roman"/>
          <w:sz w:val="24"/>
          <w:szCs w:val="24"/>
        </w:rPr>
        <w:t xml:space="preserve"> are the FFT pattern of the core and the shell, respectively. </w:t>
      </w:r>
      <w:r>
        <w:rPr>
          <w:rFonts w:ascii="Times New Roman" w:eastAsia="宋体" w:hAnsi="Times New Roman" w:cs="Times New Roman"/>
          <w:b/>
          <w:sz w:val="24"/>
          <w:szCs w:val="24"/>
        </w:rPr>
        <w:t>c,</w:t>
      </w:r>
      <w:r>
        <w:rPr>
          <w:rFonts w:ascii="Times New Roman" w:eastAsia="宋体" w:hAnsi="Times New Roman" w:cs="Times New Roman"/>
          <w:sz w:val="24"/>
          <w:szCs w:val="24"/>
        </w:rPr>
        <w:t xml:space="preserve"> HRTEM image of the termination of TiO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@MnO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 xml:space="preserve"> core-shell NW.</w:t>
      </w:r>
    </w:p>
    <w:p w:rsidR="007B3DA4" w:rsidRDefault="007B3DA4" w:rsidP="007B3DA4">
      <w:pPr>
        <w:widowControl w:val="0"/>
        <w:tabs>
          <w:tab w:val="left" w:pos="912"/>
        </w:tabs>
        <w:autoSpaceDE w:val="0"/>
        <w:autoSpaceDN w:val="0"/>
        <w:adjustRightInd w:val="0"/>
        <w:spacing w:afterLines="50" w:after="120" w:line="500" w:lineRule="atLeast"/>
        <w:jc w:val="center"/>
        <w:rPr>
          <w:rFonts w:ascii="Times New Roman" w:eastAsia="宋体" w:hAnsi="Times New Roman" w:cs="Times New Roman"/>
          <w:b/>
          <w:sz w:val="24"/>
          <w:szCs w:val="24"/>
        </w:rPr>
      </w:pPr>
      <w:r>
        <w:rPr>
          <w:rFonts w:ascii="Times New Roman" w:eastAsia="宋体" w:hAnsi="Times New Roman" w:cs="Times New Roman"/>
          <w:b/>
          <w:noProof/>
          <w:sz w:val="24"/>
          <w:szCs w:val="24"/>
        </w:rPr>
        <w:drawing>
          <wp:inline distT="0" distB="0" distL="0" distR="0">
            <wp:extent cx="3637280" cy="18288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r="32655"/>
                    <a:stretch>
                      <a:fillRect/>
                    </a:stretch>
                  </pic:blipFill>
                  <pic:spPr bwMode="auto">
                    <a:xfrm>
                      <a:off x="0" y="0"/>
                      <a:ext cx="3637280" cy="1828800"/>
                    </a:xfrm>
                    <a:prstGeom prst="rect">
                      <a:avLst/>
                    </a:prstGeom>
                    <a:noFill/>
                    <a:ln>
                      <a:noFill/>
                    </a:ln>
                  </pic:spPr>
                </pic:pic>
              </a:graphicData>
            </a:graphic>
          </wp:inline>
        </w:drawing>
      </w:r>
    </w:p>
    <w:p w:rsidR="007B3DA4" w:rsidRDefault="007B3DA4" w:rsidP="007B3DA4">
      <w:pPr>
        <w:widowControl w:val="0"/>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b/>
          <w:sz w:val="24"/>
          <w:szCs w:val="24"/>
        </w:rPr>
        <w:lastRenderedPageBreak/>
        <w:t>Fig. S3.</w:t>
      </w:r>
      <w:r>
        <w:rPr>
          <w:rFonts w:ascii="Times New Roman" w:eastAsia="宋体" w:hAnsi="Times New Roman" w:cs="Times New Roman"/>
          <w:sz w:val="24"/>
          <w:szCs w:val="24"/>
        </w:rPr>
        <w:t xml:space="preserve"> TEM images of as-prepared Ti-MnO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 xml:space="preserve"> NWs. Insets of a, and b are the FFT pattern of the core and the shell, respectively. </w:t>
      </w:r>
    </w:p>
    <w:p w:rsidR="007B3DA4" w:rsidRDefault="007B3DA4" w:rsidP="007B3DA4">
      <w:pPr>
        <w:widowControl w:val="0"/>
        <w:tabs>
          <w:tab w:val="left" w:pos="912"/>
        </w:tabs>
        <w:autoSpaceDE w:val="0"/>
        <w:autoSpaceDN w:val="0"/>
        <w:adjustRightInd w:val="0"/>
        <w:spacing w:afterLines="50" w:after="120" w:line="500" w:lineRule="atLeast"/>
        <w:jc w:val="center"/>
        <w:rPr>
          <w:rFonts w:ascii="Times New Roman" w:eastAsia="宋体" w:hAnsi="Times New Roman" w:cs="Times New Roman"/>
          <w:sz w:val="24"/>
          <w:szCs w:val="24"/>
        </w:rPr>
      </w:pPr>
    </w:p>
    <w:p w:rsidR="007B3DA4" w:rsidRDefault="007B3DA4" w:rsidP="007B3DA4">
      <w:pPr>
        <w:tabs>
          <w:tab w:val="center" w:pos="4320"/>
          <w:tab w:val="right" w:pos="8640"/>
        </w:tabs>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5120" cy="15036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5120" cy="1503680"/>
                    </a:xfrm>
                    <a:prstGeom prst="rect">
                      <a:avLst/>
                    </a:prstGeom>
                    <a:noFill/>
                    <a:ln>
                      <a:noFill/>
                    </a:ln>
                  </pic:spPr>
                </pic:pic>
              </a:graphicData>
            </a:graphic>
          </wp:inline>
        </w:drawing>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b/>
          <w:sz w:val="24"/>
          <w:szCs w:val="24"/>
        </w:rPr>
        <w:t>Fig. S4.</w:t>
      </w:r>
      <w:r>
        <w:rPr>
          <w:rFonts w:ascii="Times New Roman" w:hAnsi="Times New Roman" w:cs="Times New Roman"/>
          <w:sz w:val="24"/>
          <w:szCs w:val="24"/>
        </w:rPr>
        <w:t xml:space="preserve"> Characterization</w:t>
      </w:r>
      <w:r>
        <w:rPr>
          <w:rFonts w:ascii="Times New Roman" w:hAnsi="Times New Roman" w:cs="Times New Roman"/>
          <w:b/>
          <w:sz w:val="24"/>
          <w:szCs w:val="24"/>
        </w:rPr>
        <w:t xml:space="preserve"> </w:t>
      </w:r>
      <w:r>
        <w:rPr>
          <w:rFonts w:ascii="Times New Roman" w:hAnsi="Times New Roman" w:cs="Times New Roman"/>
          <w:sz w:val="24"/>
          <w:szCs w:val="24"/>
        </w:rPr>
        <w:t>of MnO</w:t>
      </w:r>
      <w:r>
        <w:rPr>
          <w:rFonts w:ascii="Times New Roman" w:hAnsi="Times New Roman" w:cs="Times New Roman"/>
          <w:sz w:val="24"/>
          <w:szCs w:val="24"/>
          <w:vertAlign w:val="subscript"/>
        </w:rPr>
        <w:t>2</w:t>
      </w:r>
      <w:r>
        <w:rPr>
          <w:rFonts w:ascii="Times New Roman" w:hAnsi="Times New Roman" w:cs="Times New Roman"/>
          <w:sz w:val="24"/>
          <w:szCs w:val="24"/>
        </w:rPr>
        <w:t xml:space="preserve"> NWs. </w:t>
      </w:r>
      <w:r>
        <w:rPr>
          <w:rFonts w:ascii="Times New Roman" w:hAnsi="Times New Roman" w:cs="Times New Roman"/>
          <w:b/>
          <w:sz w:val="24"/>
          <w:szCs w:val="24"/>
        </w:rPr>
        <w:t>a,</w:t>
      </w:r>
      <w:r>
        <w:rPr>
          <w:rFonts w:ascii="Times New Roman" w:hAnsi="Times New Roman" w:cs="Times New Roman"/>
          <w:sz w:val="24"/>
          <w:szCs w:val="24"/>
        </w:rPr>
        <w:t xml:space="preserve"> STEM image of MnO</w:t>
      </w:r>
      <w:r>
        <w:rPr>
          <w:rFonts w:ascii="Times New Roman" w:hAnsi="Times New Roman" w:cs="Times New Roman"/>
          <w:sz w:val="24"/>
          <w:szCs w:val="24"/>
          <w:vertAlign w:val="subscript"/>
        </w:rPr>
        <w:t>2</w:t>
      </w:r>
      <w:r>
        <w:rPr>
          <w:rFonts w:ascii="Times New Roman" w:hAnsi="Times New Roman" w:cs="Times New Roman"/>
          <w:sz w:val="24"/>
          <w:szCs w:val="24"/>
        </w:rPr>
        <w:t xml:space="preserve"> NWs.</w:t>
      </w:r>
      <w:r>
        <w:rPr>
          <w:rFonts w:ascii="Times New Roman" w:hAnsi="Times New Roman" w:cs="Times New Roman"/>
          <w:b/>
          <w:sz w:val="24"/>
          <w:szCs w:val="24"/>
        </w:rPr>
        <w:t xml:space="preserve"> b and c,</w:t>
      </w:r>
      <w:r>
        <w:rPr>
          <w:rFonts w:ascii="Times New Roman" w:hAnsi="Times New Roman" w:cs="Times New Roman"/>
          <w:sz w:val="24"/>
          <w:szCs w:val="24"/>
        </w:rPr>
        <w:t xml:space="preserve"> EELS spectrum profiles from the surface to the interior as marked by the horizontal dashed lines with the same color as in </w:t>
      </w:r>
      <w:r>
        <w:rPr>
          <w:rFonts w:ascii="Times New Roman" w:hAnsi="Times New Roman" w:cs="Times New Roman"/>
          <w:b/>
          <w:sz w:val="24"/>
          <w:szCs w:val="24"/>
        </w:rPr>
        <w:t>b,</w:t>
      </w:r>
      <w:r>
        <w:rPr>
          <w:rFonts w:ascii="Times New Roman" w:hAnsi="Times New Roman" w:cs="Times New Roman"/>
          <w:sz w:val="24"/>
          <w:szCs w:val="24"/>
        </w:rPr>
        <w:t xml:space="preserve"> Relative atomic composition of O (red), Mn (blue), and Ti (black) as a function of position calculated based on the integrated EELS peak intensity in </w:t>
      </w:r>
      <w:r>
        <w:rPr>
          <w:rFonts w:ascii="Times New Roman" w:hAnsi="Times New Roman" w:cs="Times New Roman"/>
          <w:b/>
          <w:sz w:val="24"/>
          <w:szCs w:val="24"/>
        </w:rPr>
        <w:t>c</w:t>
      </w:r>
      <w:r>
        <w:rPr>
          <w:rFonts w:ascii="Times New Roman" w:hAnsi="Times New Roman" w:cs="Times New Roman"/>
          <w:sz w:val="24"/>
          <w:szCs w:val="24"/>
        </w:rPr>
        <w:t>.</w:t>
      </w:r>
    </w:p>
    <w:p w:rsidR="007B3DA4" w:rsidRDefault="007B3DA4" w:rsidP="007B3DA4">
      <w:pPr>
        <w:tabs>
          <w:tab w:val="center" w:pos="4320"/>
          <w:tab w:val="right" w:pos="8640"/>
        </w:tabs>
        <w:spacing w:line="480" w:lineRule="auto"/>
        <w:rPr>
          <w:rFonts w:ascii="Times New Roman" w:hAnsi="Times New Roman" w:cs="Times New Roman"/>
          <w:sz w:val="24"/>
          <w:szCs w:val="24"/>
        </w:rPr>
      </w:pPr>
    </w:p>
    <w:p w:rsidR="007B3DA4" w:rsidRDefault="007B3DA4" w:rsidP="007B3DA4">
      <w:pPr>
        <w:tabs>
          <w:tab w:val="center" w:pos="4320"/>
          <w:tab w:val="right" w:pos="8640"/>
        </w:tabs>
        <w:spacing w:line="480" w:lineRule="auto"/>
        <w:rPr>
          <w:rFonts w:ascii="Times New Roman" w:hAnsi="Times New Roman" w:cs="Times New Roman"/>
          <w:sz w:val="24"/>
          <w:szCs w:val="24"/>
        </w:rPr>
      </w:pPr>
    </w:p>
    <w:p w:rsidR="007B3DA4" w:rsidRDefault="007B3DA4" w:rsidP="007B3DA4">
      <w:pPr>
        <w:tabs>
          <w:tab w:val="center" w:pos="4320"/>
          <w:tab w:val="right" w:pos="8640"/>
        </w:tabs>
        <w:spacing w:line="480" w:lineRule="auto"/>
        <w:jc w:val="center"/>
        <w:rPr>
          <w:rFonts w:ascii="Times New Roman" w:hAnsi="Times New Roman" w:cs="Times New Roman"/>
          <w:sz w:val="24"/>
          <w:szCs w:val="24"/>
        </w:rPr>
      </w:pPr>
      <w:r>
        <w:rPr>
          <w:rFonts w:ascii="Times New Roman" w:eastAsia="宋体" w:hAnsi="Times New Roman" w:cs="Times New Roman"/>
          <w:noProof/>
          <w:color w:val="0000FF"/>
          <w:sz w:val="24"/>
          <w:szCs w:val="24"/>
        </w:rPr>
        <w:drawing>
          <wp:inline distT="0" distB="0" distL="0" distR="0">
            <wp:extent cx="2875280" cy="1747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5280" cy="1747520"/>
                    </a:xfrm>
                    <a:prstGeom prst="rect">
                      <a:avLst/>
                    </a:prstGeom>
                    <a:noFill/>
                    <a:ln>
                      <a:noFill/>
                    </a:ln>
                  </pic:spPr>
                </pic:pic>
              </a:graphicData>
            </a:graphic>
          </wp:inline>
        </w:drawing>
      </w:r>
    </w:p>
    <w:p w:rsidR="007B3DA4" w:rsidRDefault="007B3DA4" w:rsidP="007B3DA4">
      <w:pPr>
        <w:tabs>
          <w:tab w:val="center" w:pos="4320"/>
          <w:tab w:val="right" w:pos="8640"/>
        </w:tabs>
        <w:spacing w:line="480" w:lineRule="auto"/>
        <w:jc w:val="center"/>
        <w:rPr>
          <w:rFonts w:ascii="Times New Roman" w:hAnsi="Times New Roman" w:cs="Times New Roman"/>
          <w:sz w:val="24"/>
          <w:szCs w:val="24"/>
        </w:rPr>
      </w:pPr>
      <w:r>
        <w:rPr>
          <w:rFonts w:ascii="Times New Roman" w:hAnsi="Times New Roman" w:cs="Times New Roman"/>
          <w:b/>
          <w:sz w:val="24"/>
          <w:szCs w:val="24"/>
        </w:rPr>
        <w:t>Fig. S5.</w:t>
      </w:r>
      <w:r>
        <w:rPr>
          <w:rFonts w:ascii="Times New Roman" w:hAnsi="Times New Roman" w:cs="Times New Roman"/>
          <w:sz w:val="24"/>
          <w:szCs w:val="24"/>
        </w:rPr>
        <w:t xml:space="preserve"> Characteristic peak of (002) plane of Ti-MnO</w:t>
      </w:r>
      <w:r>
        <w:rPr>
          <w:rFonts w:ascii="Times New Roman" w:hAnsi="Times New Roman" w:cs="Times New Roman"/>
          <w:sz w:val="24"/>
          <w:szCs w:val="24"/>
          <w:vertAlign w:val="subscript"/>
        </w:rPr>
        <w:t>2</w:t>
      </w:r>
      <w:r>
        <w:rPr>
          <w:rFonts w:ascii="Times New Roman" w:hAnsi="Times New Roman" w:cs="Times New Roman"/>
          <w:sz w:val="24"/>
          <w:szCs w:val="24"/>
        </w:rPr>
        <w:t xml:space="preserve"> in XRD pattern.</w:t>
      </w:r>
    </w:p>
    <w:p w:rsidR="007B3DA4" w:rsidRDefault="007B3DA4" w:rsidP="007B3DA4">
      <w:pPr>
        <w:tabs>
          <w:tab w:val="center" w:pos="4320"/>
          <w:tab w:val="right" w:pos="864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8544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5440" cy="1828800"/>
                    </a:xfrm>
                    <a:prstGeom prst="rect">
                      <a:avLst/>
                    </a:prstGeom>
                    <a:noFill/>
                    <a:ln>
                      <a:noFill/>
                    </a:ln>
                  </pic:spPr>
                </pic:pic>
              </a:graphicData>
            </a:graphic>
          </wp:inline>
        </w:drawing>
      </w:r>
    </w:p>
    <w:p w:rsidR="007B3DA4" w:rsidRDefault="007B3DA4" w:rsidP="007B3DA4">
      <w:pPr>
        <w:tabs>
          <w:tab w:val="center" w:pos="4320"/>
          <w:tab w:val="right" w:pos="8640"/>
        </w:tabs>
        <w:spacing w:line="480" w:lineRule="auto"/>
        <w:jc w:val="center"/>
        <w:rPr>
          <w:rFonts w:ascii="Times New Roman" w:hAnsi="Times New Roman" w:cs="Times New Roman"/>
          <w:sz w:val="24"/>
          <w:szCs w:val="24"/>
        </w:rPr>
      </w:pPr>
      <w:r>
        <w:rPr>
          <w:rFonts w:ascii="Times New Roman" w:hAnsi="Times New Roman" w:cs="Times New Roman"/>
          <w:b/>
          <w:sz w:val="24"/>
          <w:szCs w:val="24"/>
        </w:rPr>
        <w:t>Fig. S6.</w:t>
      </w:r>
      <w:r>
        <w:rPr>
          <w:rFonts w:ascii="Times New Roman" w:hAnsi="Times New Roman" w:cs="Times New Roman"/>
          <w:sz w:val="24"/>
          <w:szCs w:val="24"/>
        </w:rPr>
        <w:t xml:space="preserve"> Typical charge-discharge curves of Ti-MnO</w:t>
      </w:r>
      <w:r>
        <w:rPr>
          <w:rFonts w:ascii="Times New Roman" w:hAnsi="Times New Roman" w:cs="Times New Roman"/>
          <w:sz w:val="24"/>
          <w:szCs w:val="24"/>
          <w:vertAlign w:val="subscript"/>
        </w:rPr>
        <w:t>2</w:t>
      </w:r>
      <w:r>
        <w:rPr>
          <w:rFonts w:ascii="Times New Roman" w:hAnsi="Times New Roman" w:cs="Times New Roman"/>
          <w:sz w:val="24"/>
          <w:szCs w:val="24"/>
        </w:rPr>
        <w:t>.</w:t>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5440" cy="18389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5440" cy="1838960"/>
                    </a:xfrm>
                    <a:prstGeom prst="rect">
                      <a:avLst/>
                    </a:prstGeom>
                    <a:noFill/>
                    <a:ln>
                      <a:noFill/>
                    </a:ln>
                  </pic:spPr>
                </pic:pic>
              </a:graphicData>
            </a:graphic>
          </wp:inline>
        </w:drawing>
      </w:r>
    </w:p>
    <w:p w:rsidR="007B3DA4" w:rsidRDefault="007B3DA4" w:rsidP="007B3DA4">
      <w:pPr>
        <w:tabs>
          <w:tab w:val="center" w:pos="4320"/>
          <w:tab w:val="right" w:pos="8640"/>
        </w:tabs>
        <w:spacing w:line="480" w:lineRule="auto"/>
        <w:jc w:val="center"/>
        <w:rPr>
          <w:rFonts w:ascii="Times New Roman" w:hAnsi="Times New Roman" w:cs="Times New Roman"/>
          <w:sz w:val="24"/>
          <w:szCs w:val="24"/>
        </w:rPr>
      </w:pPr>
      <w:r>
        <w:rPr>
          <w:rFonts w:ascii="Times New Roman" w:hAnsi="Times New Roman" w:cs="Times New Roman"/>
          <w:b/>
          <w:sz w:val="24"/>
          <w:szCs w:val="24"/>
        </w:rPr>
        <w:t>Fig. S7.</w:t>
      </w:r>
      <w:r>
        <w:rPr>
          <w:rFonts w:ascii="Times New Roman" w:hAnsi="Times New Roman" w:cs="Times New Roman"/>
          <w:sz w:val="24"/>
          <w:szCs w:val="24"/>
        </w:rPr>
        <w:t xml:space="preserve"> Charge-discharge curves of Ti-MnO</w:t>
      </w:r>
      <w:r>
        <w:rPr>
          <w:rFonts w:ascii="Times New Roman" w:hAnsi="Times New Roman" w:cs="Times New Roman"/>
          <w:sz w:val="24"/>
          <w:szCs w:val="24"/>
          <w:vertAlign w:val="subscript"/>
        </w:rPr>
        <w:t>2</w:t>
      </w:r>
      <w:r>
        <w:rPr>
          <w:rFonts w:ascii="Times New Roman" w:hAnsi="Times New Roman" w:cs="Times New Roman"/>
          <w:sz w:val="24"/>
          <w:szCs w:val="24"/>
        </w:rPr>
        <w:t xml:space="preserve"> at different current rates.</w:t>
      </w:r>
    </w:p>
    <w:p w:rsidR="007B3DA4" w:rsidRDefault="007B3DA4" w:rsidP="007B3DA4">
      <w:pPr>
        <w:tabs>
          <w:tab w:val="left" w:pos="916"/>
        </w:tabs>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2875280" cy="1838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5280" cy="1838960"/>
                    </a:xfrm>
                    <a:prstGeom prst="rect">
                      <a:avLst/>
                    </a:prstGeom>
                    <a:noFill/>
                    <a:ln>
                      <a:noFill/>
                    </a:ln>
                  </pic:spPr>
                </pic:pic>
              </a:graphicData>
            </a:graphic>
          </wp:inline>
        </w:drawing>
      </w:r>
    </w:p>
    <w:p w:rsidR="007B3DA4" w:rsidRDefault="007B3DA4" w:rsidP="007B3DA4">
      <w:pPr>
        <w:tabs>
          <w:tab w:val="left" w:pos="916"/>
        </w:tabs>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b/>
          <w:sz w:val="24"/>
          <w:szCs w:val="24"/>
        </w:rPr>
        <w:t>Fig. S8.</w:t>
      </w:r>
      <w:r>
        <w:rPr>
          <w:rFonts w:ascii="Times New Roman" w:eastAsia="宋体" w:hAnsi="Times New Roman" w:cs="Times New Roman"/>
          <w:sz w:val="24"/>
          <w:szCs w:val="24"/>
        </w:rPr>
        <w:t xml:space="preserve"> Discharge curves of Ti-MnO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 xml:space="preserve"> cathode in in 0.1M Mn(CF</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 xml:space="preserve"> solution with or without Zn(CF</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SO</w:t>
      </w:r>
      <w:r>
        <w:rPr>
          <w:rFonts w:ascii="Times New Roman" w:eastAsia="宋体" w:hAnsi="Times New Roman" w:cs="Times New Roman"/>
          <w:sz w:val="24"/>
          <w:szCs w:val="24"/>
          <w:vertAlign w:val="subscript"/>
        </w:rPr>
        <w:t>3</w:t>
      </w:r>
      <w:r>
        <w:rPr>
          <w:rFonts w:ascii="Times New Roman" w:eastAsia="宋体" w:hAnsi="Times New Roman" w:cs="Times New Roman"/>
          <w:sz w:val="24"/>
          <w:szCs w:val="24"/>
        </w:rPr>
        <w:t>)</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w:t>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875280" cy="18389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5280" cy="1838960"/>
                    </a:xfrm>
                    <a:prstGeom prst="rect">
                      <a:avLst/>
                    </a:prstGeom>
                    <a:noFill/>
                    <a:ln>
                      <a:noFill/>
                    </a:ln>
                  </pic:spPr>
                </pic:pic>
              </a:graphicData>
            </a:graphic>
          </wp:inline>
        </w:drawing>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b/>
          <w:sz w:val="24"/>
          <w:szCs w:val="24"/>
        </w:rPr>
        <w:t>Fig. S9.</w:t>
      </w:r>
      <w:r>
        <w:rPr>
          <w:rFonts w:ascii="Times New Roman" w:hAnsi="Times New Roman" w:cs="Times New Roman"/>
          <w:sz w:val="24"/>
          <w:szCs w:val="24"/>
        </w:rPr>
        <w:t xml:space="preserve"> Separation of H</w:t>
      </w:r>
      <w:r>
        <w:rPr>
          <w:rFonts w:ascii="Times New Roman" w:hAnsi="Times New Roman" w:cs="Times New Roman"/>
          <w:sz w:val="24"/>
          <w:szCs w:val="24"/>
          <w:vertAlign w:val="superscript"/>
        </w:rPr>
        <w:t>+</w:t>
      </w:r>
      <w:r>
        <w:rPr>
          <w:rFonts w:ascii="Times New Roman" w:hAnsi="Times New Roman" w:cs="Times New Roman"/>
          <w:sz w:val="24"/>
          <w:szCs w:val="24"/>
        </w:rPr>
        <w:t xml:space="preserve"> and Zn</w:t>
      </w:r>
      <w:r>
        <w:rPr>
          <w:rFonts w:ascii="Times New Roman" w:hAnsi="Times New Roman" w:cs="Times New Roman"/>
          <w:sz w:val="24"/>
          <w:szCs w:val="24"/>
          <w:vertAlign w:val="superscript"/>
        </w:rPr>
        <w:t>2+</w:t>
      </w:r>
      <w:r>
        <w:rPr>
          <w:rFonts w:ascii="Times New Roman" w:hAnsi="Times New Roman" w:cs="Times New Roman"/>
          <w:sz w:val="24"/>
          <w:szCs w:val="24"/>
        </w:rPr>
        <w:t xml:space="preserve"> storage capacity of MnO</w:t>
      </w:r>
      <w:r>
        <w:rPr>
          <w:rFonts w:ascii="Times New Roman" w:hAnsi="Times New Roman" w:cs="Times New Roman"/>
          <w:sz w:val="24"/>
          <w:szCs w:val="24"/>
          <w:vertAlign w:val="subscript"/>
        </w:rPr>
        <w:t>2</w:t>
      </w:r>
      <w:r>
        <w:rPr>
          <w:rFonts w:ascii="Times New Roman" w:hAnsi="Times New Roman" w:cs="Times New Roman"/>
          <w:sz w:val="24"/>
          <w:szCs w:val="24"/>
        </w:rPr>
        <w:t xml:space="preserve"> at 100 mA g</w:t>
      </w:r>
      <w:r>
        <w:rPr>
          <w:rFonts w:ascii="Times New Roman" w:hAnsi="Times New Roman" w:cs="Times New Roman"/>
          <w:sz w:val="24"/>
          <w:szCs w:val="24"/>
          <w:vertAlign w:val="superscript"/>
        </w:rPr>
        <w:t>-1</w:t>
      </w:r>
      <w:r>
        <w:rPr>
          <w:rFonts w:ascii="Times New Roman" w:hAnsi="Times New Roman" w:cs="Times New Roman"/>
          <w:sz w:val="24"/>
          <w:szCs w:val="24"/>
        </w:rPr>
        <w:t>.</w:t>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6640" cy="12293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6640" cy="1229360"/>
                    </a:xfrm>
                    <a:prstGeom prst="rect">
                      <a:avLst/>
                    </a:prstGeom>
                    <a:noFill/>
                    <a:ln>
                      <a:noFill/>
                    </a:ln>
                  </pic:spPr>
                </pic:pic>
              </a:graphicData>
            </a:graphic>
          </wp:inline>
        </w:drawing>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b/>
          <w:sz w:val="24"/>
          <w:szCs w:val="24"/>
        </w:rPr>
        <w:t>Fig. S10.</w:t>
      </w:r>
      <w:r>
        <w:rPr>
          <w:rFonts w:ascii="Times New Roman" w:hAnsi="Times New Roman" w:cs="Times New Roman"/>
          <w:sz w:val="24"/>
          <w:szCs w:val="24"/>
        </w:rPr>
        <w:t xml:space="preserve"> Variations and fittings between Zr and the reciprocal square root of the angular frequency in the low frequency region of MnO</w:t>
      </w:r>
      <w:r>
        <w:rPr>
          <w:rFonts w:ascii="Times New Roman" w:hAnsi="Times New Roman" w:cs="Times New Roman"/>
          <w:sz w:val="24"/>
          <w:szCs w:val="24"/>
          <w:vertAlign w:val="subscript"/>
        </w:rPr>
        <w:t>2</w:t>
      </w:r>
      <w:r>
        <w:rPr>
          <w:rFonts w:ascii="Times New Roman" w:hAnsi="Times New Roman" w:cs="Times New Roman"/>
          <w:sz w:val="24"/>
          <w:szCs w:val="24"/>
        </w:rPr>
        <w:t xml:space="preserve"> NWs and Ti-MnO</w:t>
      </w:r>
      <w:r>
        <w:rPr>
          <w:rFonts w:ascii="Times New Roman" w:hAnsi="Times New Roman" w:cs="Times New Roman"/>
          <w:sz w:val="24"/>
          <w:szCs w:val="24"/>
          <w:vertAlign w:val="subscript"/>
        </w:rPr>
        <w:t>2</w:t>
      </w:r>
      <w:r>
        <w:rPr>
          <w:rFonts w:ascii="Times New Roman" w:hAnsi="Times New Roman" w:cs="Times New Roman"/>
          <w:sz w:val="24"/>
          <w:szCs w:val="24"/>
        </w:rPr>
        <w:t xml:space="preserve"> NWs, respectively.</w:t>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6640" cy="175768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6640" cy="1757680"/>
                    </a:xfrm>
                    <a:prstGeom prst="rect">
                      <a:avLst/>
                    </a:prstGeom>
                    <a:noFill/>
                    <a:ln>
                      <a:noFill/>
                    </a:ln>
                  </pic:spPr>
                </pic:pic>
              </a:graphicData>
            </a:graphic>
          </wp:inline>
        </w:drawing>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b/>
          <w:sz w:val="24"/>
          <w:szCs w:val="24"/>
        </w:rPr>
        <w:t>Fig. S11.</w:t>
      </w:r>
      <w:r>
        <w:rPr>
          <w:rFonts w:ascii="Times New Roman" w:hAnsi="Times New Roman" w:cs="Times New Roman"/>
          <w:sz w:val="24"/>
          <w:szCs w:val="24"/>
        </w:rPr>
        <w:t xml:space="preserve"> TEM images of Ti-MnO</w:t>
      </w:r>
      <w:r>
        <w:rPr>
          <w:rFonts w:ascii="Times New Roman" w:hAnsi="Times New Roman" w:cs="Times New Roman"/>
          <w:sz w:val="24"/>
          <w:szCs w:val="24"/>
          <w:vertAlign w:val="subscript"/>
        </w:rPr>
        <w:t>2</w:t>
      </w:r>
      <w:r>
        <w:rPr>
          <w:rFonts w:ascii="Times New Roman" w:hAnsi="Times New Roman" w:cs="Times New Roman"/>
          <w:sz w:val="24"/>
          <w:szCs w:val="24"/>
        </w:rPr>
        <w:t xml:space="preserve"> after long-term cycling.</w:t>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5120" cy="1452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5120" cy="1452880"/>
                    </a:xfrm>
                    <a:prstGeom prst="rect">
                      <a:avLst/>
                    </a:prstGeom>
                    <a:noFill/>
                    <a:ln>
                      <a:noFill/>
                    </a:ln>
                  </pic:spPr>
                </pic:pic>
              </a:graphicData>
            </a:graphic>
          </wp:inline>
        </w:drawing>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Fig. S12. </w:t>
      </w:r>
      <w:r>
        <w:rPr>
          <w:rFonts w:ascii="Times New Roman" w:hAnsi="Times New Roman" w:cs="Times New Roman"/>
          <w:sz w:val="24"/>
          <w:szCs w:val="24"/>
        </w:rPr>
        <w:t>Ex-situ characterization</w:t>
      </w:r>
      <w:r>
        <w:rPr>
          <w:rFonts w:ascii="Times New Roman" w:hAnsi="Times New Roman" w:cs="Times New Roman"/>
          <w:b/>
          <w:sz w:val="24"/>
          <w:szCs w:val="24"/>
        </w:rPr>
        <w:t xml:space="preserve"> </w:t>
      </w:r>
      <w:r>
        <w:rPr>
          <w:rFonts w:ascii="Times New Roman" w:hAnsi="Times New Roman" w:cs="Times New Roman"/>
          <w:sz w:val="24"/>
          <w:szCs w:val="24"/>
        </w:rPr>
        <w:t>of Ti-MnO</w:t>
      </w:r>
      <w:r>
        <w:rPr>
          <w:rFonts w:ascii="Times New Roman" w:hAnsi="Times New Roman" w:cs="Times New Roman"/>
          <w:sz w:val="24"/>
          <w:szCs w:val="24"/>
          <w:vertAlign w:val="subscript"/>
        </w:rPr>
        <w:t>2</w:t>
      </w:r>
      <w:r>
        <w:rPr>
          <w:rFonts w:ascii="Times New Roman" w:hAnsi="Times New Roman" w:cs="Times New Roman"/>
          <w:sz w:val="24"/>
          <w:szCs w:val="24"/>
        </w:rPr>
        <w:t xml:space="preserve"> after long-term cycling.</w:t>
      </w:r>
      <w:r>
        <w:rPr>
          <w:rFonts w:ascii="Times New Roman" w:hAnsi="Times New Roman" w:cs="Times New Roman"/>
          <w:b/>
          <w:sz w:val="24"/>
          <w:szCs w:val="24"/>
        </w:rPr>
        <w:t xml:space="preserve"> a, b,</w:t>
      </w:r>
      <w:r>
        <w:rPr>
          <w:rFonts w:ascii="Times New Roman" w:hAnsi="Times New Roman" w:cs="Times New Roman"/>
          <w:sz w:val="24"/>
          <w:szCs w:val="24"/>
        </w:rPr>
        <w:t xml:space="preserve"> EELS spectrum profiles from the surface to the interior as marked by the horizontal dashed lines with the same color as in </w:t>
      </w:r>
      <w:r>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b/>
          <w:sz w:val="24"/>
          <w:szCs w:val="24"/>
        </w:rPr>
        <w:t xml:space="preserve">c, </w:t>
      </w:r>
      <w:r>
        <w:rPr>
          <w:rFonts w:ascii="Times New Roman" w:hAnsi="Times New Roman" w:cs="Times New Roman"/>
          <w:sz w:val="24"/>
          <w:szCs w:val="24"/>
        </w:rPr>
        <w:t xml:space="preserve">Relative atomic composition of O (red), Mn (blue), and Ti (black) as a function of position calculated based on the integrated EELS peak intensity in </w:t>
      </w:r>
      <w:r>
        <w:rPr>
          <w:rFonts w:ascii="Times New Roman" w:hAnsi="Times New Roman" w:cs="Times New Roman"/>
          <w:b/>
          <w:sz w:val="24"/>
          <w:szCs w:val="24"/>
        </w:rPr>
        <w:t>b</w:t>
      </w:r>
      <w:r>
        <w:rPr>
          <w:rFonts w:ascii="Times New Roman" w:hAnsi="Times New Roman" w:cs="Times New Roman"/>
          <w:sz w:val="24"/>
          <w:szCs w:val="24"/>
        </w:rPr>
        <w:t xml:space="preserve">. </w:t>
      </w:r>
    </w:p>
    <w:p w:rsidR="007B3DA4" w:rsidRDefault="007B3DA4" w:rsidP="007B3DA4">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596640" cy="2458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6640" cy="2458720"/>
                    </a:xfrm>
                    <a:prstGeom prst="rect">
                      <a:avLst/>
                    </a:prstGeom>
                    <a:noFill/>
                    <a:ln>
                      <a:noFill/>
                    </a:ln>
                  </pic:spPr>
                </pic:pic>
              </a:graphicData>
            </a:graphic>
          </wp:inline>
        </w:drawing>
      </w:r>
    </w:p>
    <w:p w:rsidR="007B3DA4" w:rsidRDefault="007B3DA4" w:rsidP="007B3DA4">
      <w:pPr>
        <w:spacing w:line="480" w:lineRule="auto"/>
        <w:jc w:val="center"/>
        <w:rPr>
          <w:rFonts w:ascii="Times New Roman" w:hAnsi="Times New Roman" w:cs="Times New Roman"/>
          <w:sz w:val="24"/>
          <w:szCs w:val="24"/>
        </w:rPr>
      </w:pPr>
      <w:r>
        <w:rPr>
          <w:rFonts w:ascii="Times New Roman" w:hAnsi="Times New Roman" w:cs="Times New Roman"/>
          <w:b/>
          <w:sz w:val="24"/>
          <w:szCs w:val="24"/>
        </w:rPr>
        <w:t xml:space="preserve">Fig. S13. </w:t>
      </w:r>
      <w:r>
        <w:rPr>
          <w:rFonts w:ascii="Times New Roman" w:hAnsi="Times New Roman" w:cs="Times New Roman"/>
          <w:sz w:val="24"/>
          <w:szCs w:val="24"/>
        </w:rPr>
        <w:t>Ex-situ XPS characterization of Ti-MnO</w:t>
      </w:r>
      <w:r>
        <w:rPr>
          <w:rFonts w:ascii="Times New Roman" w:hAnsi="Times New Roman" w:cs="Times New Roman"/>
          <w:sz w:val="24"/>
          <w:szCs w:val="24"/>
          <w:vertAlign w:val="subscript"/>
        </w:rPr>
        <w:t>2</w:t>
      </w:r>
      <w:r>
        <w:rPr>
          <w:rFonts w:ascii="Times New Roman" w:hAnsi="Times New Roman" w:cs="Times New Roman"/>
          <w:sz w:val="24"/>
          <w:szCs w:val="24"/>
        </w:rPr>
        <w:t xml:space="preserve"> at different potential during charging/discharging.</w:t>
      </w:r>
    </w:p>
    <w:p w:rsidR="007B3DA4" w:rsidRDefault="007B3DA4" w:rsidP="007B3DA4">
      <w:pPr>
        <w:spacing w:afterLines="50" w:after="120" w:line="500" w:lineRule="atLeast"/>
        <w:jc w:val="center"/>
        <w:rPr>
          <w:rFonts w:ascii="Times New Roman" w:eastAsia="宋体" w:hAnsi="Times New Roman" w:cs="Times New Roman"/>
          <w:b/>
          <w:sz w:val="24"/>
          <w:szCs w:val="24"/>
        </w:rPr>
      </w:pPr>
      <w:r>
        <w:rPr>
          <w:rFonts w:ascii="Times New Roman" w:eastAsia="宋体" w:hAnsi="Times New Roman" w:cs="Times New Roman"/>
          <w:b/>
          <w:sz w:val="24"/>
          <w:szCs w:val="24"/>
        </w:rPr>
        <w:t>Table S1. Summary of the fitting results of the EIS spectrum</w:t>
      </w:r>
    </w:p>
    <w:tbl>
      <w:tblPr>
        <w:tblStyle w:val="TableGrid"/>
        <w:tblW w:w="0" w:type="auto"/>
        <w:tblInd w:w="1526" w:type="dxa"/>
        <w:tblLook w:val="04A0" w:firstRow="1" w:lastRow="0" w:firstColumn="1" w:lastColumn="0" w:noHBand="0" w:noVBand="1"/>
      </w:tblPr>
      <w:tblGrid>
        <w:gridCol w:w="1993"/>
        <w:gridCol w:w="1692"/>
        <w:gridCol w:w="2268"/>
      </w:tblGrid>
      <w:tr w:rsidR="007B3DA4" w:rsidTr="007B3DA4">
        <w:tc>
          <w:tcPr>
            <w:tcW w:w="1993"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Sample</w:t>
            </w:r>
          </w:p>
        </w:tc>
        <w:tc>
          <w:tcPr>
            <w:tcW w:w="1692"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R</w:t>
            </w:r>
            <w:r>
              <w:rPr>
                <w:rFonts w:ascii="Times New Roman" w:eastAsia="宋体" w:hAnsi="Times New Roman" w:cs="Times New Roman"/>
                <w:sz w:val="24"/>
                <w:szCs w:val="24"/>
                <w:vertAlign w:val="subscript"/>
              </w:rPr>
              <w:t>s</w:t>
            </w:r>
          </w:p>
        </w:tc>
        <w:tc>
          <w:tcPr>
            <w:tcW w:w="2268"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R</w:t>
            </w:r>
            <w:r>
              <w:rPr>
                <w:rFonts w:ascii="Times New Roman" w:eastAsia="宋体" w:hAnsi="Times New Roman" w:cs="Times New Roman"/>
                <w:sz w:val="24"/>
                <w:szCs w:val="24"/>
                <w:vertAlign w:val="subscript"/>
              </w:rPr>
              <w:t>ct</w:t>
            </w:r>
          </w:p>
        </w:tc>
      </w:tr>
      <w:tr w:rsidR="007B3DA4" w:rsidTr="007B3DA4">
        <w:tc>
          <w:tcPr>
            <w:tcW w:w="1993"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lastRenderedPageBreak/>
              <w:t>Ti-MnO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@1.5 V</w:t>
            </w:r>
          </w:p>
        </w:tc>
        <w:tc>
          <w:tcPr>
            <w:tcW w:w="1692"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1.9</w:t>
            </w:r>
          </w:p>
        </w:tc>
        <w:tc>
          <w:tcPr>
            <w:tcW w:w="2268"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175</w:t>
            </w:r>
          </w:p>
        </w:tc>
      </w:tr>
      <w:tr w:rsidR="007B3DA4" w:rsidTr="007B3DA4">
        <w:tc>
          <w:tcPr>
            <w:tcW w:w="1993"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MnO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@1.5 V</w:t>
            </w:r>
          </w:p>
        </w:tc>
        <w:tc>
          <w:tcPr>
            <w:tcW w:w="1692"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eastAsia="宋体" w:hAnsi="Times New Roman" w:cs="Times New Roman"/>
                <w:sz w:val="24"/>
                <w:szCs w:val="24"/>
              </w:rPr>
            </w:pPr>
            <w:r>
              <w:rPr>
                <w:rFonts w:ascii="Times New Roman" w:eastAsia="宋体" w:hAnsi="Times New Roman" w:cs="Times New Roman"/>
                <w:sz w:val="24"/>
                <w:szCs w:val="24"/>
              </w:rPr>
              <w:t>332</w:t>
            </w:r>
          </w:p>
        </w:tc>
      </w:tr>
      <w:tr w:rsidR="007B3DA4" w:rsidTr="007B3DA4">
        <w:tc>
          <w:tcPr>
            <w:tcW w:w="1993"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hAnsi="Times New Roman" w:cs="Times New Roman"/>
                <w:b/>
                <w:sz w:val="24"/>
                <w:szCs w:val="24"/>
              </w:rPr>
            </w:pPr>
            <w:r>
              <w:rPr>
                <w:rFonts w:ascii="Times New Roman" w:eastAsia="宋体" w:hAnsi="Times New Roman" w:cs="Times New Roman"/>
                <w:sz w:val="24"/>
                <w:szCs w:val="24"/>
              </w:rPr>
              <w:t>Ti-MnO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@0.9 V</w:t>
            </w:r>
          </w:p>
        </w:tc>
        <w:tc>
          <w:tcPr>
            <w:tcW w:w="1692"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hAnsi="Times New Roman" w:cs="Times New Roman"/>
                <w:sz w:val="24"/>
                <w:szCs w:val="24"/>
              </w:rPr>
            </w:pPr>
            <w:r>
              <w:rPr>
                <w:rFonts w:ascii="Times New Roman" w:hAnsi="Times New Roman" w:cs="Times New Roman"/>
                <w:sz w:val="24"/>
                <w:szCs w:val="24"/>
              </w:rPr>
              <w:t>1.6</w:t>
            </w:r>
          </w:p>
        </w:tc>
        <w:tc>
          <w:tcPr>
            <w:tcW w:w="2268"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hAnsi="Times New Roman" w:cs="Times New Roman"/>
                <w:sz w:val="24"/>
                <w:szCs w:val="24"/>
              </w:rPr>
            </w:pPr>
            <w:r>
              <w:rPr>
                <w:rFonts w:ascii="Times New Roman" w:hAnsi="Times New Roman" w:cs="Times New Roman"/>
                <w:sz w:val="24"/>
                <w:szCs w:val="24"/>
              </w:rPr>
              <w:t>836</w:t>
            </w:r>
          </w:p>
        </w:tc>
      </w:tr>
      <w:tr w:rsidR="007B3DA4" w:rsidTr="007B3DA4">
        <w:tc>
          <w:tcPr>
            <w:tcW w:w="1993"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hAnsi="Times New Roman" w:cs="Times New Roman"/>
                <w:b/>
                <w:sz w:val="24"/>
                <w:szCs w:val="24"/>
              </w:rPr>
            </w:pPr>
            <w:r>
              <w:rPr>
                <w:rFonts w:ascii="Times New Roman" w:eastAsia="宋体" w:hAnsi="Times New Roman" w:cs="Times New Roman"/>
                <w:sz w:val="24"/>
                <w:szCs w:val="24"/>
              </w:rPr>
              <w:t>MnO</w:t>
            </w:r>
            <w:r>
              <w:rPr>
                <w:rFonts w:ascii="Times New Roman" w:eastAsia="宋体" w:hAnsi="Times New Roman" w:cs="Times New Roman"/>
                <w:sz w:val="24"/>
                <w:szCs w:val="24"/>
                <w:vertAlign w:val="subscript"/>
              </w:rPr>
              <w:t>2</w:t>
            </w:r>
            <w:r>
              <w:rPr>
                <w:rFonts w:ascii="Times New Roman" w:eastAsia="宋体" w:hAnsi="Times New Roman" w:cs="Times New Roman"/>
                <w:sz w:val="24"/>
                <w:szCs w:val="24"/>
              </w:rPr>
              <w:t>@0.9 V</w:t>
            </w:r>
          </w:p>
        </w:tc>
        <w:tc>
          <w:tcPr>
            <w:tcW w:w="1692"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hideMark/>
          </w:tcPr>
          <w:p w:rsidR="007B3DA4" w:rsidRDefault="007B3DA4">
            <w:pPr>
              <w:spacing w:afterLines="50" w:after="120" w:line="500" w:lineRule="atLeast"/>
              <w:jc w:val="center"/>
              <w:rPr>
                <w:rFonts w:ascii="Times New Roman" w:hAnsi="Times New Roman" w:cs="Times New Roman"/>
                <w:sz w:val="24"/>
                <w:szCs w:val="24"/>
              </w:rPr>
            </w:pPr>
            <w:r>
              <w:rPr>
                <w:rFonts w:ascii="Times New Roman" w:hAnsi="Times New Roman" w:cs="Times New Roman"/>
                <w:sz w:val="24"/>
                <w:szCs w:val="24"/>
              </w:rPr>
              <w:t>1642</w:t>
            </w:r>
          </w:p>
        </w:tc>
      </w:tr>
    </w:tbl>
    <w:p w:rsidR="007B3DA4" w:rsidRDefault="007B3DA4" w:rsidP="007B3DA4">
      <w:pPr>
        <w:spacing w:after="0" w:line="240" w:lineRule="auto"/>
        <w:jc w:val="both"/>
        <w:rPr>
          <w:rFonts w:ascii="Times New Roman" w:hAnsi="Times New Roman" w:cs="Times New Roman"/>
          <w:noProof/>
          <w:sz w:val="24"/>
          <w:szCs w:val="24"/>
        </w:rPr>
      </w:pPr>
    </w:p>
    <w:p w:rsidR="007B3DA4" w:rsidRDefault="007B3DA4" w:rsidP="007B3DA4">
      <w:pPr>
        <w:spacing w:after="0" w:line="240" w:lineRule="auto"/>
        <w:jc w:val="both"/>
        <w:rPr>
          <w:rFonts w:ascii="Times New Roman" w:hAnsi="Times New Roman" w:cs="Times New Roman"/>
          <w:b/>
          <w:noProof/>
          <w:sz w:val="32"/>
          <w:szCs w:val="24"/>
        </w:rPr>
      </w:pPr>
      <w:r>
        <w:rPr>
          <w:rFonts w:ascii="Times New Roman" w:hAnsi="Times New Roman" w:cs="Times New Roman"/>
          <w:b/>
          <w:noProof/>
          <w:sz w:val="32"/>
          <w:szCs w:val="24"/>
        </w:rPr>
        <w:t>Reference</w:t>
      </w:r>
    </w:p>
    <w:p w:rsidR="007B3DA4" w:rsidRDefault="007B3DA4" w:rsidP="007B3DA4">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[1]</w:t>
      </w:r>
      <w:r>
        <w:rPr>
          <w:rFonts w:ascii="Times New Roman" w:hAnsi="Times New Roman" w:cs="Times New Roman"/>
          <w:noProof/>
          <w:sz w:val="24"/>
          <w:szCs w:val="24"/>
        </w:rPr>
        <w:tab/>
        <w:t xml:space="preserve">G. Kresse, J. Furthmiiller, </w:t>
      </w:r>
      <w:r>
        <w:rPr>
          <w:rFonts w:ascii="Times New Roman" w:hAnsi="Times New Roman" w:cs="Times New Roman"/>
          <w:i/>
          <w:noProof/>
          <w:sz w:val="24"/>
          <w:szCs w:val="24"/>
        </w:rPr>
        <w:t>Computational Materials Science</w:t>
      </w:r>
      <w:r>
        <w:rPr>
          <w:rFonts w:ascii="Times New Roman" w:hAnsi="Times New Roman" w:cs="Times New Roman"/>
          <w:noProof/>
          <w:sz w:val="24"/>
          <w:szCs w:val="24"/>
        </w:rPr>
        <w:t xml:space="preserve"> 1996, </w:t>
      </w:r>
      <w:r>
        <w:rPr>
          <w:rFonts w:ascii="Times New Roman" w:hAnsi="Times New Roman" w:cs="Times New Roman"/>
          <w:b/>
          <w:noProof/>
          <w:sz w:val="24"/>
          <w:szCs w:val="24"/>
        </w:rPr>
        <w:t>6</w:t>
      </w:r>
      <w:r>
        <w:rPr>
          <w:rFonts w:ascii="Times New Roman" w:hAnsi="Times New Roman" w:cs="Times New Roman"/>
          <w:noProof/>
          <w:sz w:val="24"/>
          <w:szCs w:val="24"/>
        </w:rPr>
        <w:t>, 15.</w:t>
      </w:r>
    </w:p>
    <w:p w:rsidR="007B3DA4" w:rsidRDefault="007B3DA4" w:rsidP="007B3DA4">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r>
        <w:rPr>
          <w:rFonts w:ascii="Times New Roman" w:hAnsi="Times New Roman" w:cs="Times New Roman"/>
          <w:noProof/>
          <w:sz w:val="24"/>
          <w:szCs w:val="24"/>
        </w:rPr>
        <w:tab/>
        <w:t xml:space="preserve">S. Grimme, </w:t>
      </w:r>
      <w:r>
        <w:rPr>
          <w:rFonts w:ascii="Times New Roman" w:hAnsi="Times New Roman" w:cs="Times New Roman"/>
          <w:i/>
          <w:noProof/>
          <w:sz w:val="24"/>
          <w:szCs w:val="24"/>
        </w:rPr>
        <w:t>Journal of Computational Chemistry</w:t>
      </w:r>
      <w:r>
        <w:rPr>
          <w:rFonts w:ascii="Times New Roman" w:hAnsi="Times New Roman" w:cs="Times New Roman"/>
          <w:noProof/>
          <w:sz w:val="24"/>
          <w:szCs w:val="24"/>
        </w:rPr>
        <w:t xml:space="preserve"> 2006, </w:t>
      </w:r>
      <w:r>
        <w:rPr>
          <w:rFonts w:ascii="Times New Roman" w:hAnsi="Times New Roman" w:cs="Times New Roman"/>
          <w:b/>
          <w:noProof/>
          <w:sz w:val="24"/>
          <w:szCs w:val="24"/>
        </w:rPr>
        <w:t>27</w:t>
      </w:r>
      <w:r>
        <w:rPr>
          <w:rFonts w:ascii="Times New Roman" w:hAnsi="Times New Roman" w:cs="Times New Roman"/>
          <w:noProof/>
          <w:sz w:val="24"/>
          <w:szCs w:val="24"/>
        </w:rPr>
        <w:t>, 1787.</w:t>
      </w:r>
    </w:p>
    <w:p w:rsidR="007B3DA4" w:rsidRDefault="007B3DA4" w:rsidP="007B3DA4">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[3]</w:t>
      </w:r>
      <w:r>
        <w:rPr>
          <w:rFonts w:ascii="Times New Roman" w:hAnsi="Times New Roman" w:cs="Times New Roman"/>
          <w:noProof/>
          <w:sz w:val="24"/>
          <w:szCs w:val="24"/>
        </w:rPr>
        <w:tab/>
        <w:t xml:space="preserve">G. Kresse, </w:t>
      </w:r>
      <w:r>
        <w:rPr>
          <w:rFonts w:ascii="Times New Roman" w:hAnsi="Times New Roman" w:cs="Times New Roman"/>
          <w:i/>
          <w:noProof/>
          <w:sz w:val="24"/>
          <w:szCs w:val="24"/>
        </w:rPr>
        <w:t>physical Review B</w:t>
      </w:r>
      <w:r>
        <w:rPr>
          <w:rFonts w:ascii="Times New Roman" w:hAnsi="Times New Roman" w:cs="Times New Roman"/>
          <w:noProof/>
          <w:sz w:val="24"/>
          <w:szCs w:val="24"/>
        </w:rPr>
        <w:t xml:space="preserve"> 1996, </w:t>
      </w:r>
      <w:r>
        <w:rPr>
          <w:rFonts w:ascii="Times New Roman" w:hAnsi="Times New Roman" w:cs="Times New Roman"/>
          <w:b/>
          <w:noProof/>
          <w:sz w:val="24"/>
          <w:szCs w:val="24"/>
        </w:rPr>
        <w:t>54</w:t>
      </w:r>
      <w:r>
        <w:rPr>
          <w:rFonts w:ascii="Times New Roman" w:hAnsi="Times New Roman" w:cs="Times New Roman"/>
          <w:noProof/>
          <w:sz w:val="24"/>
          <w:szCs w:val="24"/>
        </w:rPr>
        <w:t>, 16.</w:t>
      </w:r>
    </w:p>
    <w:p w:rsidR="007B3DA4" w:rsidRDefault="007B3DA4" w:rsidP="007B3DA4">
      <w:pPr>
        <w:spacing w:after="0" w:line="240" w:lineRule="auto"/>
        <w:jc w:val="both"/>
        <w:rPr>
          <w:rFonts w:ascii="Times New Roman" w:hAnsi="Times New Roman" w:cs="Times New Roman"/>
          <w:noProof/>
          <w:sz w:val="24"/>
          <w:szCs w:val="24"/>
        </w:rPr>
      </w:pPr>
      <w:bookmarkStart w:id="0" w:name="_ENREF_57"/>
      <w:r>
        <w:rPr>
          <w:rFonts w:ascii="Times New Roman" w:hAnsi="Times New Roman" w:cs="Times New Roman"/>
          <w:noProof/>
          <w:sz w:val="24"/>
          <w:szCs w:val="24"/>
        </w:rPr>
        <w:t>[4]</w:t>
      </w:r>
      <w:r>
        <w:rPr>
          <w:rFonts w:ascii="Times New Roman" w:hAnsi="Times New Roman" w:cs="Times New Roman"/>
          <w:noProof/>
          <w:sz w:val="24"/>
          <w:szCs w:val="24"/>
        </w:rPr>
        <w:tab/>
        <w:t xml:space="preserve">J. P. Perdew, K. Burke, M. Ernzerhof, </w:t>
      </w:r>
      <w:r>
        <w:rPr>
          <w:rFonts w:ascii="Times New Roman" w:hAnsi="Times New Roman" w:cs="Times New Roman"/>
          <w:i/>
          <w:noProof/>
          <w:sz w:val="24"/>
          <w:szCs w:val="24"/>
        </w:rPr>
        <w:t>physical Review letters</w:t>
      </w:r>
      <w:r>
        <w:rPr>
          <w:rFonts w:ascii="Times New Roman" w:hAnsi="Times New Roman" w:cs="Times New Roman"/>
          <w:noProof/>
          <w:sz w:val="24"/>
          <w:szCs w:val="24"/>
        </w:rPr>
        <w:t xml:space="preserve"> 1996, </w:t>
      </w:r>
      <w:r>
        <w:rPr>
          <w:rFonts w:ascii="Times New Roman" w:hAnsi="Times New Roman" w:cs="Times New Roman"/>
          <w:b/>
          <w:noProof/>
          <w:sz w:val="24"/>
          <w:szCs w:val="24"/>
        </w:rPr>
        <w:t>77</w:t>
      </w:r>
      <w:r>
        <w:rPr>
          <w:rFonts w:ascii="Times New Roman" w:hAnsi="Times New Roman" w:cs="Times New Roman"/>
          <w:noProof/>
          <w:sz w:val="24"/>
          <w:szCs w:val="24"/>
        </w:rPr>
        <w:t>, 18.</w:t>
      </w:r>
      <w:bookmarkEnd w:id="0"/>
    </w:p>
    <w:p w:rsidR="007B3DA4" w:rsidRDefault="007B3DA4" w:rsidP="007B3DA4">
      <w:pPr>
        <w:spacing w:line="240" w:lineRule="auto"/>
        <w:jc w:val="both"/>
        <w:rPr>
          <w:rFonts w:ascii="Times New Roman" w:hAnsi="Times New Roman" w:cs="Times New Roman"/>
          <w:noProof/>
          <w:sz w:val="24"/>
          <w:szCs w:val="24"/>
        </w:rPr>
      </w:pPr>
      <w:bookmarkStart w:id="1" w:name="_ENREF_58"/>
      <w:r>
        <w:rPr>
          <w:rFonts w:ascii="Times New Roman" w:hAnsi="Times New Roman" w:cs="Times New Roman"/>
          <w:noProof/>
          <w:sz w:val="24"/>
          <w:szCs w:val="24"/>
        </w:rPr>
        <w:t>[5]</w:t>
      </w:r>
      <w:r>
        <w:rPr>
          <w:rFonts w:ascii="Times New Roman" w:hAnsi="Times New Roman" w:cs="Times New Roman"/>
          <w:noProof/>
          <w:sz w:val="24"/>
          <w:szCs w:val="24"/>
        </w:rPr>
        <w:tab/>
        <w:t xml:space="preserve">P. E. Blöchl, </w:t>
      </w:r>
      <w:r>
        <w:rPr>
          <w:rFonts w:ascii="Times New Roman" w:hAnsi="Times New Roman" w:cs="Times New Roman"/>
          <w:i/>
          <w:noProof/>
          <w:sz w:val="24"/>
          <w:szCs w:val="24"/>
        </w:rPr>
        <w:t>Physical Review B</w:t>
      </w:r>
      <w:r>
        <w:rPr>
          <w:rFonts w:ascii="Times New Roman" w:hAnsi="Times New Roman" w:cs="Times New Roman"/>
          <w:noProof/>
          <w:sz w:val="24"/>
          <w:szCs w:val="24"/>
        </w:rPr>
        <w:t xml:space="preserve"> 1994, </w:t>
      </w:r>
      <w:r>
        <w:rPr>
          <w:rFonts w:ascii="Times New Roman" w:hAnsi="Times New Roman" w:cs="Times New Roman"/>
          <w:b/>
          <w:noProof/>
          <w:sz w:val="24"/>
          <w:szCs w:val="24"/>
        </w:rPr>
        <w:t>50</w:t>
      </w:r>
      <w:r>
        <w:rPr>
          <w:rFonts w:ascii="Times New Roman" w:hAnsi="Times New Roman" w:cs="Times New Roman"/>
          <w:noProof/>
          <w:sz w:val="24"/>
          <w:szCs w:val="24"/>
        </w:rPr>
        <w:t>, 17953.</w:t>
      </w:r>
      <w:bookmarkEnd w:id="1"/>
    </w:p>
    <w:p w:rsidR="007B3DA4" w:rsidRDefault="007B3DA4" w:rsidP="007B3DA4">
      <w:pPr>
        <w:spacing w:line="480" w:lineRule="auto"/>
        <w:jc w:val="center"/>
        <w:rPr>
          <w:rFonts w:ascii="Times New Roman" w:hAnsi="Times New Roman" w:cs="Times New Roman"/>
          <w:sz w:val="24"/>
          <w:szCs w:val="24"/>
        </w:rPr>
      </w:pPr>
    </w:p>
    <w:p w:rsidR="00F23405" w:rsidRDefault="00F23405">
      <w:bookmarkStart w:id="2" w:name="_GoBack"/>
      <w:bookmarkEnd w:id="2"/>
    </w:p>
    <w:sectPr w:rsidR="00F2340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543"/>
    <w:rsid w:val="007B3DA4"/>
    <w:rsid w:val="00D57543"/>
    <w:rsid w:val="00F234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D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B3DA4"/>
    <w:rPr>
      <w:color w:val="0000FF" w:themeColor="hyperlink"/>
      <w:u w:val="single"/>
    </w:rPr>
  </w:style>
  <w:style w:type="paragraph" w:customStyle="1" w:styleId="Addresses">
    <w:name w:val="Addresses"/>
    <w:basedOn w:val="Normal"/>
    <w:rsid w:val="007B3DA4"/>
    <w:pPr>
      <w:spacing w:after="0" w:line="240" w:lineRule="auto"/>
    </w:pPr>
    <w:rPr>
      <w:rFonts w:ascii="Times New Roman" w:eastAsia="MS Mincho" w:hAnsi="Times New Roman" w:cs="Times New Roman"/>
      <w:sz w:val="24"/>
      <w:szCs w:val="24"/>
      <w:lang w:eastAsia="ja-JP"/>
    </w:rPr>
  </w:style>
  <w:style w:type="paragraph" w:customStyle="1" w:styleId="Title2">
    <w:name w:val="Title2"/>
    <w:basedOn w:val="Normal"/>
    <w:rsid w:val="007B3DA4"/>
    <w:pPr>
      <w:spacing w:after="0" w:line="240" w:lineRule="auto"/>
    </w:pPr>
    <w:rPr>
      <w:rFonts w:ascii="Times New Roman" w:eastAsia="MS Mincho" w:hAnsi="Times New Roman" w:cs="Times New Roman"/>
      <w:b/>
      <w:sz w:val="24"/>
      <w:szCs w:val="24"/>
      <w:lang w:eastAsia="ja-JP"/>
    </w:rPr>
  </w:style>
  <w:style w:type="table" w:styleId="TableGrid">
    <w:name w:val="Table Grid"/>
    <w:basedOn w:val="TableNormal"/>
    <w:uiPriority w:val="59"/>
    <w:rsid w:val="007B3D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3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D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3D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B3DA4"/>
    <w:rPr>
      <w:color w:val="0000FF" w:themeColor="hyperlink"/>
      <w:u w:val="single"/>
    </w:rPr>
  </w:style>
  <w:style w:type="paragraph" w:customStyle="1" w:styleId="Addresses">
    <w:name w:val="Addresses"/>
    <w:basedOn w:val="Normal"/>
    <w:rsid w:val="007B3DA4"/>
    <w:pPr>
      <w:spacing w:after="0" w:line="240" w:lineRule="auto"/>
    </w:pPr>
    <w:rPr>
      <w:rFonts w:ascii="Times New Roman" w:eastAsia="MS Mincho" w:hAnsi="Times New Roman" w:cs="Times New Roman"/>
      <w:sz w:val="24"/>
      <w:szCs w:val="24"/>
      <w:lang w:eastAsia="ja-JP"/>
    </w:rPr>
  </w:style>
  <w:style w:type="paragraph" w:customStyle="1" w:styleId="Title2">
    <w:name w:val="Title2"/>
    <w:basedOn w:val="Normal"/>
    <w:rsid w:val="007B3DA4"/>
    <w:pPr>
      <w:spacing w:after="0" w:line="240" w:lineRule="auto"/>
    </w:pPr>
    <w:rPr>
      <w:rFonts w:ascii="Times New Roman" w:eastAsia="MS Mincho" w:hAnsi="Times New Roman" w:cs="Times New Roman"/>
      <w:b/>
      <w:sz w:val="24"/>
      <w:szCs w:val="24"/>
      <w:lang w:eastAsia="ja-JP"/>
    </w:rPr>
  </w:style>
  <w:style w:type="table" w:styleId="TableGrid">
    <w:name w:val="Table Grid"/>
    <w:basedOn w:val="TableNormal"/>
    <w:uiPriority w:val="59"/>
    <w:rsid w:val="007B3D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B3D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3D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93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E:\work\&#25105;&#30340;&#24037;&#20316;\Zn-MnO2%20batttery\final\nano%20energy\2nd%20response\Mansuscript-plain.docx"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file:///E:\work\&#25105;&#30340;&#24037;&#20316;\Zn-MnO2%20batttery\final\nano%20energy\2nd%20response\Mansuscript-plain.docx" TargetMode="External"/><Relationship Id="rId11" Type="http://schemas.openxmlformats.org/officeDocument/2006/relationships/image" Target="media/image4.png"/><Relationship Id="rId5" Type="http://schemas.openxmlformats.org/officeDocument/2006/relationships/hyperlink" Target="mailto:mlq518@whut.edu.cn"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1562</Words>
  <Characters>8905</Characters>
  <Application>Microsoft Office Word</Application>
  <DocSecurity>0</DocSecurity>
  <Lines>74</Lines>
  <Paragraphs>20</Paragraphs>
  <ScaleCrop>false</ScaleCrop>
  <Company/>
  <LinksUpToDate>false</LinksUpToDate>
  <CharactersWithSpaces>10447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vicyel</dc:creator>
  <cp:keywords/>
  <dc:description/>
  <cp:lastModifiedBy>vicyel</cp:lastModifiedBy>
  <cp:revision>3</cp:revision>
  <dcterms:created xsi:type="dcterms:W3CDTF">2019-04-20T09:34:00Z</dcterms:created>
  <dcterms:modified xsi:type="dcterms:W3CDTF">2019-04-20T09:34:00Z</dcterms:modified>
</cp:coreProperties>
</file>